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52"/>
          <w:szCs w:val="52"/>
        </w:rPr>
      </w:pPr>
    </w:p>
    <w:p>
      <w:pPr>
        <w:jc w:val="center"/>
        <w:rPr>
          <w:rFonts w:ascii="仿宋" w:hAnsi="仿宋" w:eastAsia="仿宋" w:cs="仿宋"/>
          <w:b/>
          <w:bCs/>
          <w:sz w:val="52"/>
          <w:szCs w:val="52"/>
        </w:rPr>
      </w:pPr>
    </w:p>
    <w:p>
      <w:pPr>
        <w:jc w:val="center"/>
        <w:rPr>
          <w:rFonts w:ascii="仿宋" w:hAnsi="仿宋" w:eastAsia="仿宋" w:cs="仿宋"/>
          <w:b/>
          <w:bCs/>
          <w:sz w:val="52"/>
          <w:szCs w:val="52"/>
        </w:rPr>
      </w:pPr>
    </w:p>
    <w:p>
      <w:pPr>
        <w:jc w:val="center"/>
        <w:rPr>
          <w:rFonts w:ascii="仿宋" w:hAnsi="仿宋" w:eastAsia="仿宋" w:cs="仿宋"/>
        </w:rPr>
      </w:pPr>
      <w:r>
        <w:rPr>
          <w:rFonts w:hint="eastAsia" w:ascii="仿宋" w:hAnsi="仿宋" w:eastAsia="仿宋" w:cs="仿宋"/>
          <w:b/>
          <w:bCs/>
          <w:sz w:val="52"/>
          <w:szCs w:val="52"/>
        </w:rPr>
        <w:t>自行谈判采购文件</w:t>
      </w: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spacing w:line="331" w:lineRule="exact"/>
        <w:ind w:left="1450" w:hanging="1450" w:hangingChars="500"/>
        <w:jc w:val="left"/>
        <w:rPr>
          <w:rFonts w:ascii="仿宋" w:hAnsi="仿宋" w:eastAsia="仿宋" w:cs="仿宋"/>
          <w:sz w:val="29"/>
          <w:szCs w:val="29"/>
        </w:rPr>
      </w:pPr>
      <w:r>
        <w:rPr>
          <w:rFonts w:hint="eastAsia" w:ascii="仿宋" w:hAnsi="仿宋" w:eastAsia="仿宋" w:cs="仿宋"/>
          <w:sz w:val="29"/>
          <w:szCs w:val="29"/>
        </w:rPr>
        <w:t>项目名称：防灾科技学院电子探针实验室改造和搬迁——</w:t>
      </w:r>
    </w:p>
    <w:p>
      <w:pPr>
        <w:spacing w:line="331" w:lineRule="exact"/>
        <w:ind w:left="1050" w:leftChars="500" w:firstLine="290" w:firstLineChars="100"/>
        <w:jc w:val="left"/>
        <w:rPr>
          <w:rFonts w:ascii="仿宋" w:hAnsi="仿宋" w:eastAsia="仿宋" w:cs="仿宋"/>
          <w:sz w:val="29"/>
          <w:szCs w:val="29"/>
        </w:rPr>
      </w:pPr>
      <w:r>
        <w:rPr>
          <w:rFonts w:hint="eastAsia" w:ascii="仿宋" w:hAnsi="仿宋" w:eastAsia="仿宋" w:cs="仿宋"/>
          <w:sz w:val="29"/>
          <w:szCs w:val="29"/>
        </w:rPr>
        <w:t>电子探针搬迁采购项目</w:t>
      </w:r>
    </w:p>
    <w:p>
      <w:pPr>
        <w:spacing w:line="331" w:lineRule="exact"/>
        <w:jc w:val="left"/>
        <w:rPr>
          <w:rFonts w:ascii="仿宋" w:hAnsi="仿宋" w:eastAsia="仿宋" w:cs="仿宋"/>
          <w:sz w:val="29"/>
          <w:szCs w:val="29"/>
        </w:rPr>
      </w:pPr>
      <w:r>
        <w:rPr>
          <w:rFonts w:hint="eastAsia" w:ascii="仿宋" w:hAnsi="仿宋" w:eastAsia="仿宋" w:cs="仿宋"/>
          <w:sz w:val="29"/>
          <w:szCs w:val="29"/>
        </w:rPr>
        <w:t>项目编号：cidp-2019-34</w:t>
      </w:r>
    </w:p>
    <w:p>
      <w:pPr>
        <w:spacing w:line="331" w:lineRule="exact"/>
        <w:jc w:val="left"/>
        <w:rPr>
          <w:rFonts w:ascii="仿宋" w:hAnsi="仿宋" w:eastAsia="仿宋" w:cs="仿宋"/>
          <w:sz w:val="29"/>
          <w:szCs w:val="29"/>
        </w:rPr>
      </w:pPr>
      <w:r>
        <w:rPr>
          <w:rFonts w:hint="eastAsia" w:ascii="仿宋" w:hAnsi="仿宋" w:eastAsia="仿宋" w:cs="仿宋"/>
          <w:sz w:val="29"/>
          <w:szCs w:val="29"/>
        </w:rPr>
        <w:t>采购方式：自行谈判采购（多供应商）</w:t>
      </w: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31" w:lineRule="exact"/>
        <w:jc w:val="center"/>
        <w:rPr>
          <w:rFonts w:ascii="仿宋" w:hAnsi="仿宋" w:eastAsia="仿宋" w:cs="仿宋"/>
          <w:sz w:val="30"/>
          <w:szCs w:val="30"/>
        </w:rPr>
      </w:pPr>
    </w:p>
    <w:p>
      <w:pPr>
        <w:spacing w:line="343" w:lineRule="exact"/>
        <w:ind w:right="47"/>
        <w:jc w:val="center"/>
        <w:rPr>
          <w:rFonts w:ascii="仿宋" w:hAnsi="仿宋" w:eastAsia="仿宋" w:cs="仿宋"/>
          <w:sz w:val="30"/>
          <w:szCs w:val="30"/>
        </w:rPr>
      </w:pPr>
      <w:r>
        <w:rPr>
          <w:rFonts w:hint="eastAsia" w:ascii="仿宋" w:hAnsi="仿宋" w:eastAsia="仿宋" w:cs="仿宋"/>
          <w:sz w:val="30"/>
          <w:szCs w:val="30"/>
        </w:rPr>
        <w:t>采购人：防灾科技学院</w:t>
      </w:r>
    </w:p>
    <w:p>
      <w:pPr>
        <w:spacing w:line="343" w:lineRule="exact"/>
        <w:ind w:right="47"/>
        <w:jc w:val="center"/>
        <w:rPr>
          <w:rFonts w:ascii="仿宋" w:hAnsi="仿宋" w:eastAsia="仿宋" w:cs="仿宋"/>
          <w:sz w:val="20"/>
        </w:rPr>
      </w:pPr>
    </w:p>
    <w:p>
      <w:pPr>
        <w:spacing w:line="331" w:lineRule="exact"/>
        <w:jc w:val="center"/>
        <w:rPr>
          <w:rFonts w:ascii="仿宋" w:hAnsi="仿宋" w:eastAsia="仿宋" w:cs="仿宋"/>
          <w:sz w:val="30"/>
          <w:szCs w:val="30"/>
        </w:rPr>
      </w:pPr>
      <w:r>
        <w:rPr>
          <w:rFonts w:hint="eastAsia" w:ascii="仿宋" w:hAnsi="仿宋" w:eastAsia="仿宋" w:cs="仿宋"/>
          <w:sz w:val="30"/>
          <w:szCs w:val="30"/>
        </w:rPr>
        <w:t>2019 年</w:t>
      </w:r>
    </w:p>
    <w:p>
      <w:pPr>
        <w:pStyle w:val="23"/>
        <w:pBdr>
          <w:bottom w:val="none" w:color="auto" w:sz="0" w:space="0"/>
        </w:pBdr>
        <w:spacing w:line="360" w:lineRule="auto"/>
        <w:rPr>
          <w:rFonts w:ascii="仿宋" w:hAnsi="仿宋" w:eastAsia="仿宋" w:cs="仿宋"/>
          <w:sz w:val="28"/>
          <w:szCs w:val="28"/>
        </w:rPr>
      </w:pPr>
    </w:p>
    <w:p>
      <w:pPr>
        <w:pStyle w:val="23"/>
        <w:pBdr>
          <w:bottom w:val="none" w:color="auto" w:sz="0" w:space="0"/>
        </w:pBdr>
        <w:spacing w:line="360" w:lineRule="auto"/>
        <w:rPr>
          <w:rFonts w:ascii="仿宋" w:hAnsi="仿宋" w:eastAsia="仿宋" w:cs="仿宋"/>
          <w:sz w:val="28"/>
          <w:szCs w:val="28"/>
        </w:rPr>
      </w:pPr>
    </w:p>
    <w:p>
      <w:pPr>
        <w:pStyle w:val="3"/>
        <w:keepNext w:val="0"/>
        <w:keepLines w:val="0"/>
        <w:spacing w:before="0" w:after="0" w:line="360" w:lineRule="auto"/>
        <w:rPr>
          <w:rFonts w:ascii="仿宋" w:hAnsi="仿宋" w:eastAsia="仿宋" w:cs="仿宋"/>
          <w:bCs/>
          <w:kern w:val="2"/>
          <w:sz w:val="30"/>
          <w:szCs w:val="30"/>
        </w:rPr>
      </w:pPr>
      <w:bookmarkStart w:id="0" w:name="_Toc511641657"/>
      <w:bookmarkStart w:id="1" w:name="_Toc470496182"/>
      <w:bookmarkStart w:id="2" w:name="_Toc380479084"/>
      <w:r>
        <w:rPr>
          <w:rFonts w:hint="eastAsia" w:ascii="仿宋" w:hAnsi="仿宋" w:eastAsia="仿宋" w:cs="仿宋"/>
          <w:bCs/>
          <w:kern w:val="2"/>
          <w:sz w:val="30"/>
          <w:szCs w:val="30"/>
        </w:rPr>
        <w:t>第一章  采购邀请</w:t>
      </w:r>
      <w:bookmarkEnd w:id="0"/>
      <w:bookmarkEnd w:id="1"/>
      <w:bookmarkEnd w:id="2"/>
    </w:p>
    <w:p>
      <w:pPr>
        <w:pStyle w:val="23"/>
        <w:pBdr>
          <w:bottom w:val="none" w:color="auto" w:sz="0" w:space="0"/>
        </w:pBdr>
        <w:snapToGrid/>
        <w:spacing w:line="360" w:lineRule="auto"/>
        <w:jc w:val="both"/>
        <w:rPr>
          <w:rFonts w:ascii="仿宋" w:hAnsi="仿宋" w:eastAsia="仿宋" w:cs="仿宋"/>
          <w:sz w:val="21"/>
          <w:szCs w:val="21"/>
        </w:rPr>
      </w:pPr>
      <w:r>
        <w:rPr>
          <w:rFonts w:hint="eastAsia" w:ascii="仿宋" w:hAnsi="仿宋" w:eastAsia="仿宋" w:cs="仿宋"/>
          <w:sz w:val="21"/>
          <w:szCs w:val="21"/>
        </w:rPr>
        <w:t>项目信息：</w:t>
      </w:r>
    </w:p>
    <w:p>
      <w:pPr>
        <w:pStyle w:val="23"/>
        <w:pBdr>
          <w:bottom w:val="none" w:color="auto" w:sz="0" w:space="0"/>
        </w:pBdr>
        <w:snapToGrid/>
        <w:spacing w:line="360" w:lineRule="auto"/>
        <w:ind w:left="945"/>
        <w:jc w:val="both"/>
        <w:rPr>
          <w:rFonts w:ascii="仿宋" w:hAnsi="仿宋" w:eastAsia="仿宋" w:cs="仿宋"/>
          <w:sz w:val="21"/>
          <w:szCs w:val="21"/>
        </w:rPr>
      </w:pP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项目名称：防灾科技学院电子探针实验室改造和搬迁——电子探针搬迁采购项目</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谈判文件公示时间：2019年6月5日至2019年6月11日（8:00—12:00,14:00—17:00）（节假日除外）</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获取采购文件、报名地点：防灾科技学院明德楼122室；联系人：李老师、蒋老师；联系电话：0316-3333559。</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报名时间：2019年6月5日至2019年6月11日（8:00—12:00,14:00—17:00）（节假日除外）</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技术咨询：联系人：</w:t>
      </w:r>
      <w:r>
        <w:rPr>
          <w:rFonts w:hint="eastAsia" w:ascii="仿宋" w:hAnsi="仿宋" w:eastAsia="仿宋" w:cs="仿宋"/>
          <w:sz w:val="21"/>
          <w:szCs w:val="21"/>
          <w:u w:val="single"/>
        </w:rPr>
        <w:t>陆</w:t>
      </w:r>
      <w:r>
        <w:rPr>
          <w:rFonts w:hint="eastAsia" w:ascii="仿宋" w:hAnsi="仿宋" w:eastAsia="仿宋" w:cs="仿宋"/>
          <w:sz w:val="21"/>
          <w:szCs w:val="21"/>
        </w:rPr>
        <w:t>老师；联系电话：</w:t>
      </w:r>
      <w:r>
        <w:rPr>
          <w:rFonts w:hint="eastAsia" w:ascii="仿宋" w:hAnsi="仿宋" w:eastAsia="仿宋" w:cs="仿宋"/>
          <w:sz w:val="21"/>
          <w:szCs w:val="21"/>
          <w:u w:val="single"/>
        </w:rPr>
        <w:t>010-58412470</w:t>
      </w:r>
      <w:r>
        <w:rPr>
          <w:rFonts w:hint="eastAsia" w:ascii="仿宋" w:hAnsi="仿宋" w:eastAsia="仿宋" w:cs="仿宋"/>
          <w:sz w:val="21"/>
          <w:szCs w:val="21"/>
        </w:rPr>
        <w:t>。</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响应文件提交时间、截止时间及地点：</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截止时间：</w:t>
      </w:r>
      <w:r>
        <w:rPr>
          <w:rFonts w:hint="eastAsia" w:ascii="仿宋" w:hAnsi="仿宋" w:eastAsia="仿宋" w:cs="仿宋"/>
          <w:sz w:val="21"/>
          <w:szCs w:val="21"/>
          <w:u w:val="single"/>
        </w:rPr>
        <w:t>2019年6月14日10：30</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地点： 明德楼231会议室</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响应文件应密封送达指定地点，在截止时间后送达的响应文件为无效文件，将被拒收。</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最后报价提交时间及地点：</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提交时间：</w:t>
      </w:r>
      <w:r>
        <w:rPr>
          <w:rFonts w:hint="eastAsia" w:ascii="仿宋" w:hAnsi="仿宋" w:eastAsia="仿宋" w:cs="仿宋"/>
          <w:sz w:val="21"/>
          <w:szCs w:val="21"/>
          <w:u w:val="single"/>
        </w:rPr>
        <w:t>2019年6月14日10：30</w:t>
      </w:r>
    </w:p>
    <w:p>
      <w:pPr>
        <w:pStyle w:val="23"/>
        <w:pBdr>
          <w:bottom w:val="none" w:color="auto" w:sz="0" w:space="0"/>
        </w:pBdr>
        <w:snapToGrid/>
        <w:spacing w:line="360" w:lineRule="auto"/>
        <w:ind w:left="945" w:leftChars="450"/>
        <w:jc w:val="both"/>
        <w:rPr>
          <w:rFonts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ascii="仿宋" w:hAnsi="仿宋" w:eastAsia="仿宋" w:cs="仿宋"/>
          <w:szCs w:val="21"/>
        </w:rPr>
      </w:pPr>
      <w:r>
        <w:rPr>
          <w:rFonts w:hint="eastAsia" w:ascii="仿宋" w:hAnsi="仿宋" w:eastAsia="仿宋" w:cs="仿宋"/>
          <w:szCs w:val="21"/>
        </w:rPr>
        <w:t>7．凡对谈判提出询问，请按下列内容与采购人联系：</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地    址：</w:t>
      </w:r>
      <w:r>
        <w:rPr>
          <w:rFonts w:hint="eastAsia" w:ascii="仿宋" w:hAnsi="仿宋" w:eastAsia="仿宋" w:cs="仿宋"/>
          <w:szCs w:val="21"/>
          <w:u w:val="single"/>
        </w:rPr>
        <w:t xml:space="preserve">  防灾科技学院   </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w:t>
      </w:r>
    </w:p>
    <w:p>
      <w:pPr>
        <w:spacing w:line="360" w:lineRule="auto"/>
        <w:ind w:left="945" w:hanging="420"/>
        <w:rPr>
          <w:rFonts w:ascii="仿宋" w:hAnsi="仿宋" w:eastAsia="仿宋" w:cs="仿宋"/>
          <w:b/>
          <w:bCs/>
          <w:sz w:val="30"/>
          <w:szCs w:val="30"/>
        </w:rPr>
      </w:pPr>
      <w:r>
        <w:rPr>
          <w:rFonts w:hint="eastAsia" w:ascii="仿宋" w:hAnsi="仿宋" w:eastAsia="仿宋" w:cs="仿宋"/>
          <w:szCs w:val="21"/>
        </w:rPr>
        <w:t xml:space="preserve">      </w:t>
      </w:r>
    </w:p>
    <w:p>
      <w:pPr>
        <w:pStyle w:val="3"/>
        <w:keepNext w:val="0"/>
        <w:keepLines w:val="0"/>
        <w:spacing w:before="0" w:after="0" w:line="360" w:lineRule="auto"/>
        <w:rPr>
          <w:rFonts w:ascii="仿宋" w:hAnsi="仿宋" w:eastAsia="仿宋" w:cs="仿宋"/>
          <w:bCs/>
          <w:kern w:val="2"/>
          <w:sz w:val="30"/>
          <w:szCs w:val="30"/>
        </w:rPr>
      </w:pPr>
      <w:bookmarkStart w:id="3" w:name="_Toc511641658"/>
      <w:bookmarkStart w:id="4" w:name="_Toc380479085"/>
      <w:bookmarkStart w:id="5" w:name="_Toc470496183"/>
      <w:r>
        <w:rPr>
          <w:rFonts w:hint="eastAsia" w:ascii="仿宋" w:hAnsi="仿宋" w:eastAsia="仿宋" w:cs="仿宋"/>
          <w:bCs/>
          <w:kern w:val="2"/>
          <w:sz w:val="30"/>
          <w:szCs w:val="30"/>
        </w:rPr>
        <w:t>第二章  谈判供应商须知</w:t>
      </w:r>
      <w:bookmarkEnd w:id="3"/>
      <w:bookmarkEnd w:id="4"/>
      <w:bookmarkEnd w:id="5"/>
    </w:p>
    <w:p>
      <w:pPr>
        <w:spacing w:line="360" w:lineRule="auto"/>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spacing w:line="360" w:lineRule="auto"/>
        <w:ind w:firstLine="315" w:firstLineChars="150"/>
        <w:rPr>
          <w:rFonts w:ascii="仿宋" w:hAnsi="仿宋" w:eastAsia="仿宋" w:cs="仿宋"/>
          <w:szCs w:val="21"/>
        </w:rPr>
      </w:pPr>
      <w:r>
        <w:rPr>
          <w:rFonts w:hint="eastAsia" w:ascii="仿宋" w:hAnsi="仿宋" w:eastAsia="仿宋" w:cs="仿宋"/>
          <w:szCs w:val="21"/>
        </w:rPr>
        <w:t xml:space="preserve"> 本表是关于本次要采购服务的具体资料，是对谈判供应商须知的具体补充和修改，如有矛盾，应以本表为准。</w:t>
      </w:r>
    </w:p>
    <w:tbl>
      <w:tblPr>
        <w:tblStyle w:val="43"/>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0"/>
        <w:gridCol w:w="7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vAlign w:val="center"/>
          </w:tcPr>
          <w:p>
            <w:pPr>
              <w:spacing w:line="360" w:lineRule="auto"/>
              <w:ind w:left="1081" w:leftChars="-13" w:hanging="1108"/>
              <w:jc w:val="center"/>
              <w:rPr>
                <w:rFonts w:ascii="仿宋" w:hAnsi="仿宋" w:eastAsia="仿宋" w:cs="仿宋"/>
                <w:szCs w:val="21"/>
              </w:rPr>
            </w:pPr>
            <w:r>
              <w:rPr>
                <w:rFonts w:hint="eastAsia" w:ascii="仿宋" w:hAnsi="仿宋" w:eastAsia="仿宋" w:cs="仿宋"/>
                <w:szCs w:val="21"/>
              </w:rPr>
              <w:t>条款号</w:t>
            </w:r>
          </w:p>
        </w:tc>
        <w:tc>
          <w:tcPr>
            <w:tcW w:w="7774" w:type="dxa"/>
            <w:vAlign w:val="center"/>
          </w:tcPr>
          <w:p>
            <w:pPr>
              <w:spacing w:line="360" w:lineRule="auto"/>
              <w:ind w:left="1080" w:hanging="1080"/>
              <w:jc w:val="center"/>
              <w:rPr>
                <w:rFonts w:ascii="仿宋" w:hAnsi="仿宋" w:eastAsia="仿宋" w:cs="仿宋"/>
                <w:szCs w:val="21"/>
              </w:rPr>
            </w:pPr>
            <w:r>
              <w:rPr>
                <w:rFonts w:hint="eastAsia" w:ascii="仿宋" w:hAnsi="仿宋" w:eastAsia="仿宋" w:cs="仿宋"/>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采购人：防灾科技学院</w:t>
            </w:r>
          </w:p>
          <w:p>
            <w:pPr>
              <w:spacing w:line="360" w:lineRule="auto"/>
              <w:rPr>
                <w:rFonts w:ascii="仿宋" w:hAnsi="仿宋" w:eastAsia="仿宋" w:cs="仿宋"/>
                <w:kern w:val="0"/>
                <w:szCs w:val="21"/>
              </w:rPr>
            </w:pPr>
            <w:r>
              <w:rPr>
                <w:rFonts w:hint="eastAsia" w:ascii="仿宋" w:hAnsi="仿宋" w:eastAsia="仿宋" w:cs="仿宋"/>
                <w:szCs w:val="21"/>
              </w:rPr>
              <w:t>地  址：燕郊高新区防灾科技学院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 xml:space="preserve">1.2 </w:t>
            </w:r>
          </w:p>
        </w:tc>
        <w:tc>
          <w:tcPr>
            <w:tcW w:w="7774" w:type="dxa"/>
            <w:vAlign w:val="center"/>
          </w:tcPr>
          <w:p>
            <w:pPr>
              <w:pStyle w:val="26"/>
              <w:spacing w:before="0" w:beforeAutospacing="0" w:after="0" w:afterAutospacing="0" w:line="270" w:lineRule="atLeast"/>
              <w:rPr>
                <w:rFonts w:ascii="仿宋" w:hAnsi="仿宋" w:eastAsia="仿宋" w:cs="仿宋"/>
                <w:sz w:val="21"/>
                <w:szCs w:val="21"/>
              </w:rPr>
            </w:pPr>
            <w:r>
              <w:rPr>
                <w:rFonts w:hint="eastAsia" w:ascii="仿宋" w:hAnsi="仿宋" w:eastAsia="仿宋" w:cs="仿宋"/>
                <w:sz w:val="21"/>
                <w:szCs w:val="21"/>
              </w:rPr>
              <w:t>项目名称：防灾科技学院电子探针实验室改造和搬迁-电子探针搬迁采购项目</w:t>
            </w:r>
          </w:p>
          <w:p>
            <w:pPr>
              <w:spacing w:line="360" w:lineRule="auto"/>
              <w:rPr>
                <w:rFonts w:ascii="仿宋" w:hAnsi="仿宋" w:eastAsia="仿宋" w:cs="仿宋"/>
                <w:szCs w:val="21"/>
              </w:rPr>
            </w:pPr>
            <w:r>
              <w:rPr>
                <w:rFonts w:hint="eastAsia" w:ascii="仿宋" w:hAnsi="仿宋" w:eastAsia="仿宋" w:cs="仿宋"/>
                <w:szCs w:val="21"/>
              </w:rPr>
              <w:t>拟采购预算</w:t>
            </w:r>
            <w:r>
              <w:rPr>
                <w:rFonts w:hint="eastAsia" w:ascii="仿宋" w:hAnsi="仿宋" w:eastAsia="仿宋" w:cs="仿宋"/>
                <w:kern w:val="0"/>
                <w:szCs w:val="21"/>
              </w:rPr>
              <w:t>：</w:t>
            </w:r>
            <w:r>
              <w:rPr>
                <w:rFonts w:hint="eastAsia" w:ascii="仿宋" w:hAnsi="仿宋" w:eastAsia="仿宋" w:cs="仿宋"/>
                <w:kern w:val="0"/>
                <w:szCs w:val="21"/>
                <w:lang w:val="en-US" w:eastAsia="zh-CN"/>
              </w:rPr>
              <w:t>25.0</w:t>
            </w:r>
            <w:r>
              <w:rPr>
                <w:rFonts w:hint="eastAsia" w:ascii="仿宋" w:hAnsi="仿宋" w:eastAsia="仿宋" w:cs="仿宋"/>
                <w:kern w:val="0"/>
                <w:szCs w:val="21"/>
              </w:rPr>
              <w:t>万元</w:t>
            </w:r>
            <w:bookmarkStart w:id="41" w:name="_GoBack"/>
            <w:bookmarkEnd w:id="4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2.1（1）</w:t>
            </w:r>
          </w:p>
        </w:tc>
        <w:tc>
          <w:tcPr>
            <w:tcW w:w="7774" w:type="dxa"/>
            <w:vAlign w:val="center"/>
          </w:tcPr>
          <w:p>
            <w:pPr>
              <w:numPr>
                <w:ilvl w:val="0"/>
                <w:numId w:val="0"/>
              </w:numPr>
              <w:spacing w:line="360" w:lineRule="auto"/>
              <w:rPr>
                <w:rFonts w:ascii="仿宋" w:hAnsi="仿宋" w:eastAsia="仿宋" w:cs="仿宋"/>
                <w:kern w:val="0"/>
                <w:szCs w:val="21"/>
              </w:rPr>
            </w:pPr>
            <w:r>
              <w:rPr>
                <w:rFonts w:hint="eastAsia" w:ascii="仿宋" w:hAnsi="仿宋" w:eastAsia="仿宋" w:cs="仿宋"/>
                <w:szCs w:val="21"/>
              </w:rPr>
              <w:t>合格供应商资格条件其他要求：经营范围应有实验设备的安装、调试及其配套服务，提供相关的维修和售后服务相关文字性描述。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2.1（2）</w:t>
            </w:r>
          </w:p>
        </w:tc>
        <w:tc>
          <w:tcPr>
            <w:tcW w:w="7774" w:type="dxa"/>
            <w:vAlign w:val="center"/>
          </w:tcPr>
          <w:p>
            <w:pPr>
              <w:spacing w:line="360" w:lineRule="auto"/>
              <w:rPr>
                <w:rFonts w:ascii="仿宋" w:hAnsi="仿宋" w:eastAsia="仿宋" w:cs="仿宋"/>
                <w:szCs w:val="21"/>
                <w:u w:val="single"/>
              </w:rPr>
            </w:pPr>
            <w:r>
              <w:rPr>
                <w:rFonts w:hint="eastAsia" w:ascii="仿宋" w:hAnsi="仿宋" w:eastAsia="仿宋" w:cs="仿宋"/>
                <w:szCs w:val="21"/>
              </w:rPr>
              <w:t>是否专门面向中小企业采购：</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是否允许联合体参加谈判：</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2.3</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采购需求响应方案内容要求：提供第三章采购需求的点对点应答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rPr>
            </w:pPr>
            <w:r>
              <w:rPr>
                <w:rFonts w:hint="eastAsia" w:ascii="仿宋" w:hAnsi="仿宋" w:eastAsia="仿宋" w:cs="仿宋"/>
                <w:szCs w:val="21"/>
              </w:rPr>
              <w:t>1、法定代表人授权书（原件，加盖公章，供应商为自然人的无须提供），供应商为搭理人缴纳社保或纳税证明文件</w:t>
            </w:r>
          </w:p>
          <w:p>
            <w:pPr>
              <w:spacing w:line="360" w:lineRule="auto"/>
              <w:rPr>
                <w:rFonts w:ascii="仿宋" w:hAnsi="仿宋" w:eastAsia="仿宋" w:cs="仿宋"/>
                <w:szCs w:val="21"/>
              </w:rPr>
            </w:pPr>
            <w:r>
              <w:rPr>
                <w:rFonts w:hint="eastAsia" w:ascii="仿宋" w:hAnsi="仿宋" w:eastAsia="仿宋" w:cs="仿宋"/>
                <w:szCs w:val="21"/>
              </w:rPr>
              <w:t>2、谈判供应商情况表（原件，加盖公章，供应商为自然人的无须提供）</w:t>
            </w:r>
          </w:p>
          <w:p>
            <w:pPr>
              <w:spacing w:line="360" w:lineRule="auto"/>
              <w:rPr>
                <w:rFonts w:ascii="仿宋" w:hAnsi="仿宋" w:eastAsia="仿宋" w:cs="仿宋"/>
                <w:szCs w:val="21"/>
              </w:rPr>
            </w:pPr>
            <w:r>
              <w:rPr>
                <w:rFonts w:hint="eastAsia" w:ascii="仿宋" w:hAnsi="仿宋" w:eastAsia="仿宋" w:cs="仿宋"/>
                <w:szCs w:val="21"/>
              </w:rPr>
              <w:t>3、营业执照（副本复印件，加盖公章）或事业单位法人证书（副本复印件，加盖公章）</w:t>
            </w:r>
          </w:p>
          <w:p>
            <w:pPr>
              <w:spacing w:line="360" w:lineRule="auto"/>
              <w:rPr>
                <w:rFonts w:ascii="仿宋" w:hAnsi="仿宋" w:eastAsia="仿宋" w:cs="仿宋"/>
                <w:szCs w:val="21"/>
              </w:rPr>
            </w:pPr>
            <w:r>
              <w:rPr>
                <w:rFonts w:hint="eastAsia" w:ascii="仿宋" w:hAnsi="仿宋" w:eastAsia="仿宋" w:cs="仿宋"/>
                <w:szCs w:val="21"/>
              </w:rPr>
              <w:t>4、信用中国或国家企业信用信息公示系统截图（加盖公章）</w:t>
            </w:r>
          </w:p>
          <w:p>
            <w:pPr>
              <w:spacing w:line="360" w:lineRule="auto"/>
              <w:rPr>
                <w:rFonts w:ascii="仿宋" w:hAnsi="仿宋" w:eastAsia="仿宋" w:cs="仿宋"/>
                <w:szCs w:val="21"/>
              </w:rPr>
            </w:pPr>
            <w:r>
              <w:rPr>
                <w:rFonts w:hint="eastAsia" w:ascii="仿宋" w:hAnsi="仿宋" w:eastAsia="仿宋" w:cs="仿宋"/>
                <w:szCs w:val="21"/>
              </w:rPr>
              <w:t>5、近六个月内谈判供应商缴纳企业所得税或增值税的证明（1个月的即可，证明复印件，加盖公章）或事业单位近期纳税证明（缴纳发票复印件，加盖公章）或自然人缴纳个人所得税证明。</w:t>
            </w:r>
          </w:p>
          <w:p>
            <w:pPr>
              <w:spacing w:line="360" w:lineRule="auto"/>
              <w:rPr>
                <w:rFonts w:ascii="仿宋" w:hAnsi="仿宋" w:eastAsia="仿宋" w:cs="仿宋"/>
                <w:color w:val="000000"/>
                <w:szCs w:val="21"/>
              </w:rPr>
            </w:pPr>
            <w:r>
              <w:rPr>
                <w:rFonts w:hint="eastAsia" w:ascii="仿宋" w:hAnsi="仿宋" w:eastAsia="仿宋" w:cs="仿宋"/>
                <w:szCs w:val="21"/>
              </w:rPr>
              <w:t>6、</w:t>
            </w:r>
            <w:r>
              <w:rPr>
                <w:rFonts w:hint="eastAsia" w:ascii="仿宋" w:hAnsi="仿宋" w:eastAsia="仿宋" w:cs="仿宋"/>
                <w:color w:val="000000"/>
                <w:szCs w:val="21"/>
              </w:rPr>
              <w:t>信用中国或国家企业信用信息公示系统或中国政府购买服务信息平台“政府采购严重违法失信行为信息记录”或全国建筑市场监管公共服务平台截图（加盖公章）。</w:t>
            </w:r>
          </w:p>
          <w:p>
            <w:pPr>
              <w:spacing w:line="360" w:lineRule="auto"/>
              <w:rPr>
                <w:rFonts w:ascii="仿宋" w:hAnsi="仿宋" w:eastAsia="仿宋" w:cs="仿宋"/>
                <w:szCs w:val="21"/>
              </w:rPr>
            </w:pPr>
            <w:r>
              <w:rPr>
                <w:rFonts w:hint="eastAsia" w:ascii="仿宋" w:hAnsi="仿宋" w:eastAsia="仿宋" w:cs="仿宋"/>
                <w:szCs w:val="21"/>
              </w:rPr>
              <w:t>未被信用中国网站（www.creditchina.gov.cn）、中国政府采购网（www.ccgp.gov.cn）列入失信被执行人、重大税收违法案件当事人名单、政府采购严重违法失信行为记录名单。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谈判供应商参加政府采购活动近三年内无违法记录的说明（格式自定，原件）</w:t>
            </w:r>
          </w:p>
          <w:p>
            <w:pPr>
              <w:spacing w:line="360" w:lineRule="auto"/>
              <w:rPr>
                <w:rFonts w:ascii="仿宋" w:hAnsi="仿宋" w:eastAsia="仿宋" w:cs="仿宋"/>
                <w:szCs w:val="21"/>
              </w:rPr>
            </w:pPr>
            <w:r>
              <w:rPr>
                <w:rFonts w:hint="eastAsia" w:ascii="仿宋" w:hAnsi="仿宋" w:eastAsia="仿宋" w:cs="仿宋"/>
                <w:szCs w:val="21"/>
              </w:rPr>
              <w:t>7、谈判供应商企业类型声明函、制造商企业类型声明函（原件，符合《政府采购促进中小企业发展暂行办法》（财库[2011]181号）价格扣减条件的谈判供应商须提交）</w:t>
            </w:r>
          </w:p>
          <w:p>
            <w:pPr>
              <w:spacing w:line="360" w:lineRule="auto"/>
              <w:rPr>
                <w:rFonts w:ascii="仿宋" w:hAnsi="仿宋" w:eastAsia="仿宋" w:cs="仿宋"/>
                <w:szCs w:val="21"/>
              </w:rPr>
            </w:pPr>
            <w:r>
              <w:rPr>
                <w:rFonts w:hint="eastAsia" w:ascii="仿宋" w:hAnsi="仿宋" w:eastAsia="仿宋" w:cs="仿宋"/>
                <w:szCs w:val="21"/>
              </w:rPr>
              <w:t>8、经营范围应有实验设备的安装、调试及其配套服务，提供相关的维修和售后服务相关文字性描述。投标人认为可以证明其工作和项目能力的其他资质文件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1"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4.1（1）</w:t>
            </w:r>
          </w:p>
        </w:tc>
        <w:tc>
          <w:tcPr>
            <w:tcW w:w="7774" w:type="dxa"/>
            <w:vAlign w:val="center"/>
          </w:tcPr>
          <w:p>
            <w:pPr>
              <w:spacing w:line="360" w:lineRule="auto"/>
              <w:ind w:hanging="50"/>
              <w:jc w:val="left"/>
              <w:rPr>
                <w:rFonts w:ascii="仿宋" w:hAnsi="仿宋" w:eastAsia="仿宋" w:cs="仿宋"/>
                <w:szCs w:val="21"/>
              </w:rPr>
            </w:pPr>
            <w:r>
              <w:rPr>
                <w:rFonts w:hint="eastAsia" w:ascii="仿宋" w:hAnsi="仿宋" w:eastAsia="仿宋" w:cs="仿宋"/>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5.1</w:t>
            </w:r>
          </w:p>
        </w:tc>
        <w:tc>
          <w:tcPr>
            <w:tcW w:w="7774" w:type="dxa"/>
            <w:vAlign w:val="center"/>
          </w:tcPr>
          <w:p>
            <w:pPr>
              <w:spacing w:line="360" w:lineRule="auto"/>
              <w:ind w:hanging="50"/>
              <w:jc w:val="left"/>
              <w:rPr>
                <w:rFonts w:ascii="仿宋" w:hAnsi="仿宋" w:eastAsia="仿宋" w:cs="仿宋"/>
                <w:szCs w:val="21"/>
                <w:u w:val="single"/>
              </w:rPr>
            </w:pPr>
            <w:r>
              <w:rPr>
                <w:rFonts w:hint="eastAsia" w:ascii="仿宋" w:hAnsi="仿宋" w:eastAsia="仿宋" w:cs="仿宋"/>
                <w:szCs w:val="21"/>
              </w:rPr>
              <w:t>响应文件有效期：</w:t>
            </w:r>
            <w:r>
              <w:rPr>
                <w:rFonts w:hint="eastAsia" w:ascii="仿宋" w:hAnsi="仿宋" w:eastAsia="仿宋" w:cs="仿宋"/>
                <w:szCs w:val="21"/>
                <w:u w:val="single"/>
              </w:rPr>
              <w:t>90</w:t>
            </w:r>
            <w:r>
              <w:rPr>
                <w:rFonts w:hint="eastAsia" w:ascii="仿宋" w:hAnsi="仿宋" w:eastAsia="仿宋" w:cs="仿宋"/>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6.1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响应文件数量：</w:t>
            </w:r>
          </w:p>
          <w:p>
            <w:pPr>
              <w:spacing w:line="360" w:lineRule="auto"/>
              <w:rPr>
                <w:rFonts w:ascii="仿宋" w:hAnsi="仿宋" w:eastAsia="仿宋" w:cs="仿宋"/>
                <w:szCs w:val="21"/>
              </w:rPr>
            </w:pPr>
            <w:r>
              <w:rPr>
                <w:rFonts w:hint="eastAsia" w:ascii="仿宋" w:hAnsi="仿宋" w:eastAsia="仿宋" w:cs="仿宋"/>
                <w:szCs w:val="21"/>
              </w:rPr>
              <w:t>正本：</w:t>
            </w:r>
            <w:r>
              <w:rPr>
                <w:rFonts w:hint="eastAsia" w:ascii="仿宋" w:hAnsi="仿宋" w:eastAsia="仿宋" w:cs="仿宋"/>
                <w:szCs w:val="21"/>
                <w:u w:val="single"/>
              </w:rPr>
              <w:t>1</w:t>
            </w:r>
            <w:r>
              <w:rPr>
                <w:rFonts w:hint="eastAsia" w:ascii="仿宋" w:hAnsi="仿宋" w:eastAsia="仿宋" w:cs="仿宋"/>
                <w:szCs w:val="21"/>
              </w:rPr>
              <w:t>份、副本：</w:t>
            </w:r>
            <w:r>
              <w:rPr>
                <w:rFonts w:hint="eastAsia" w:ascii="仿宋" w:hAnsi="仿宋" w:eastAsia="仿宋" w:cs="仿宋"/>
                <w:szCs w:val="21"/>
                <w:u w:val="single"/>
              </w:rPr>
              <w:t>2</w:t>
            </w:r>
            <w:r>
              <w:rPr>
                <w:rFonts w:hint="eastAsia" w:ascii="仿宋" w:hAnsi="仿宋" w:eastAsia="仿宋" w:cs="仿宋"/>
                <w:szCs w:val="21"/>
              </w:rPr>
              <w:t>份</w:t>
            </w:r>
          </w:p>
          <w:p>
            <w:pPr>
              <w:spacing w:line="360" w:lineRule="auto"/>
              <w:rPr>
                <w:rFonts w:ascii="仿宋" w:hAnsi="仿宋" w:eastAsia="仿宋" w:cs="仿宋"/>
                <w:szCs w:val="21"/>
                <w:u w:val="single"/>
              </w:rPr>
            </w:pPr>
            <w:r>
              <w:rPr>
                <w:rFonts w:hint="eastAsia" w:ascii="仿宋" w:hAnsi="仿宋" w:eastAsia="仿宋" w:cs="仿宋"/>
                <w:szCs w:val="21"/>
              </w:rPr>
              <w:t>电子文档：</w:t>
            </w:r>
            <w:r>
              <w:rPr>
                <w:rFonts w:hint="eastAsia" w:ascii="仿宋" w:hAnsi="仿宋" w:eastAsia="仿宋" w:cs="仿宋"/>
                <w:szCs w:val="21"/>
                <w:u w:val="single"/>
              </w:rPr>
              <w:t>1</w:t>
            </w:r>
            <w:r>
              <w:rPr>
                <w:rFonts w:hint="eastAsia" w:ascii="仿宋" w:hAnsi="仿宋" w:eastAsia="仿宋" w:cs="仿宋"/>
                <w:szCs w:val="21"/>
              </w:rPr>
              <w:t>份（正本扫描件电子文档</w:t>
            </w:r>
            <w:r>
              <w:rPr>
                <w:rFonts w:hint="eastAsia" w:ascii="仿宋" w:hAnsi="仿宋" w:eastAsia="仿宋" w:cs="仿宋"/>
                <w:szCs w:val="21"/>
                <w:u w:val="single"/>
              </w:rPr>
              <w:t>1</w:t>
            </w:r>
            <w:r>
              <w:rPr>
                <w:rFonts w:hint="eastAsia" w:ascii="仿宋" w:hAnsi="仿宋" w:eastAsia="仿宋" w:cs="仿宋"/>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7.1</w:t>
            </w:r>
          </w:p>
        </w:tc>
        <w:tc>
          <w:tcPr>
            <w:tcW w:w="7774" w:type="dxa"/>
            <w:vAlign w:val="center"/>
          </w:tcPr>
          <w:p>
            <w:pPr>
              <w:spacing w:line="360" w:lineRule="auto"/>
              <w:ind w:left="1260" w:hanging="1260" w:hangingChars="600"/>
              <w:rPr>
                <w:rFonts w:ascii="仿宋" w:hAnsi="仿宋" w:eastAsia="仿宋" w:cs="仿宋"/>
                <w:szCs w:val="21"/>
              </w:rPr>
            </w:pPr>
            <w:r>
              <w:rPr>
                <w:rFonts w:hint="eastAsia" w:ascii="仿宋" w:hAnsi="仿宋" w:eastAsia="仿宋" w:cs="仿宋"/>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vAlign w:val="center"/>
          </w:tcPr>
          <w:p>
            <w:pPr>
              <w:spacing w:line="360" w:lineRule="auto"/>
              <w:ind w:left="268" w:leftChars="128"/>
              <w:jc w:val="center"/>
              <w:rPr>
                <w:rFonts w:ascii="仿宋" w:hAnsi="仿宋" w:eastAsia="仿宋" w:cs="仿宋"/>
                <w:szCs w:val="21"/>
              </w:rPr>
            </w:pPr>
            <w:r>
              <w:rPr>
                <w:rFonts w:hint="eastAsia" w:ascii="仿宋" w:hAnsi="仿宋" w:eastAsia="仿宋" w:cs="仿宋"/>
                <w:szCs w:val="21"/>
              </w:rPr>
              <w:t>8.1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谈判文件可以修改变动的内容：</w:t>
            </w:r>
            <w:r>
              <w:rPr>
                <w:rFonts w:hint="eastAsia" w:ascii="仿宋" w:hAnsi="仿宋" w:eastAsia="仿宋" w:cs="仿宋"/>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9.1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谈判小组推荐成交候选人数量：</w:t>
            </w:r>
            <w:r>
              <w:rPr>
                <w:rFonts w:hint="eastAsia" w:ascii="仿宋" w:hAnsi="仿宋" w:eastAsia="仿宋" w:cs="仿宋"/>
                <w:szCs w:val="21"/>
                <w:u w:val="single"/>
              </w:rPr>
              <w:t>1</w:t>
            </w:r>
            <w:r>
              <w:rPr>
                <w:rFonts w:hint="eastAsia" w:ascii="仿宋" w:hAnsi="仿宋" w:eastAsia="仿宋" w:cs="仿宋"/>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2"/>
            <w:vAlign w:val="center"/>
          </w:tcPr>
          <w:p>
            <w:pPr>
              <w:spacing w:line="360" w:lineRule="auto"/>
              <w:rPr>
                <w:rFonts w:ascii="仿宋" w:hAnsi="仿宋" w:eastAsia="仿宋" w:cs="仿宋"/>
                <w:szCs w:val="21"/>
              </w:rPr>
            </w:pPr>
            <w:r>
              <w:rPr>
                <w:rFonts w:hint="eastAsia" w:ascii="仿宋" w:hAnsi="仿宋" w:eastAsia="仿宋" w:cs="仿宋"/>
                <w:szCs w:val="21"/>
              </w:rPr>
              <w:t>对本次竟谈文件不明之处务必向采购方进行书面咨询，采购方以书面形式答复质疑问题，未进行咨询的，则视为对本竟谈文件全面理解，并自愿遵照执行，届时，不得以资料不全等理由拒绝履行相关义务</w:t>
            </w:r>
          </w:p>
        </w:tc>
      </w:tr>
    </w:tbl>
    <w:p>
      <w:pPr>
        <w:spacing w:line="360" w:lineRule="auto"/>
        <w:jc w:val="center"/>
        <w:rPr>
          <w:rFonts w:ascii="仿宋" w:hAnsi="仿宋" w:eastAsia="仿宋" w:cs="仿宋"/>
          <w:szCs w:val="21"/>
        </w:rPr>
      </w:pPr>
    </w:p>
    <w:p>
      <w:pPr>
        <w:pStyle w:val="3"/>
        <w:spacing w:before="0" w:after="0" w:line="360" w:lineRule="auto"/>
        <w:rPr>
          <w:rFonts w:ascii="仿宋" w:hAnsi="仿宋" w:eastAsia="仿宋" w:cs="仿宋"/>
          <w:sz w:val="21"/>
          <w:szCs w:val="21"/>
        </w:rPr>
      </w:pPr>
      <w:r>
        <w:rPr>
          <w:rFonts w:hint="eastAsia" w:ascii="仿宋" w:hAnsi="仿宋" w:eastAsia="仿宋" w:cs="仿宋"/>
          <w:sz w:val="21"/>
          <w:szCs w:val="21"/>
        </w:rPr>
        <w:br w:type="page"/>
      </w:r>
      <w:bookmarkStart w:id="7" w:name="_Toc380479087"/>
    </w:p>
    <w:p>
      <w:pPr>
        <w:pStyle w:val="4"/>
        <w:keepNext w:val="0"/>
        <w:keepLines w:val="0"/>
        <w:tabs>
          <w:tab w:val="left" w:pos="4253"/>
        </w:tabs>
        <w:spacing w:before="0" w:after="0" w:line="360" w:lineRule="auto"/>
        <w:jc w:val="center"/>
        <w:rPr>
          <w:rFonts w:ascii="仿宋" w:hAnsi="仿宋" w:eastAsia="仿宋" w:cs="仿宋"/>
          <w:sz w:val="21"/>
          <w:szCs w:val="21"/>
        </w:rPr>
      </w:pPr>
      <w:bookmarkStart w:id="8" w:name="_Toc482601724"/>
      <w:bookmarkStart w:id="9" w:name="_Toc20847"/>
      <w:r>
        <w:rPr>
          <w:rFonts w:hint="eastAsia" w:ascii="仿宋" w:hAnsi="仿宋" w:eastAsia="仿宋" w:cs="仿宋"/>
          <w:bCs w:val="0"/>
          <w:sz w:val="30"/>
          <w:szCs w:val="30"/>
        </w:rPr>
        <w:t>投标人须知正文</w:t>
      </w:r>
      <w:bookmarkEnd w:id="8"/>
      <w:bookmarkEnd w:id="9"/>
    </w:p>
    <w:p>
      <w:pPr>
        <w:pStyle w:val="3"/>
        <w:spacing w:before="0" w:after="0" w:line="360" w:lineRule="auto"/>
        <w:rPr>
          <w:rFonts w:ascii="仿宋" w:hAnsi="仿宋" w:eastAsia="仿宋" w:cs="仿宋"/>
          <w:sz w:val="21"/>
          <w:szCs w:val="21"/>
        </w:rPr>
      </w:pPr>
      <w:r>
        <w:rPr>
          <w:rFonts w:hint="eastAsia" w:ascii="仿宋" w:hAnsi="仿宋" w:eastAsia="仿宋" w:cs="仿宋"/>
          <w:sz w:val="21"/>
          <w:szCs w:val="21"/>
        </w:rPr>
        <w:t>一  总 则</w:t>
      </w:r>
      <w:bookmarkEnd w:id="7"/>
    </w:p>
    <w:p>
      <w:pPr>
        <w:pStyle w:val="3"/>
        <w:spacing w:before="0" w:after="0" w:line="360" w:lineRule="auto"/>
        <w:jc w:val="left"/>
        <w:rPr>
          <w:rFonts w:ascii="仿宋" w:hAnsi="仿宋" w:eastAsia="仿宋" w:cs="仿宋"/>
          <w:sz w:val="21"/>
          <w:szCs w:val="21"/>
        </w:rPr>
      </w:pPr>
      <w:bookmarkStart w:id="10" w:name="_Toc380479088"/>
      <w:r>
        <w:rPr>
          <w:rFonts w:hint="eastAsia" w:ascii="仿宋" w:hAnsi="仿宋" w:eastAsia="仿宋" w:cs="仿宋"/>
          <w:sz w:val="21"/>
          <w:szCs w:val="21"/>
        </w:rPr>
        <w:t>1．项目简介</w:t>
      </w:r>
      <w:bookmarkEnd w:id="10"/>
    </w:p>
    <w:p>
      <w:pPr>
        <w:spacing w:line="360" w:lineRule="auto"/>
        <w:ind w:firstLine="315" w:firstLineChars="150"/>
        <w:rPr>
          <w:rFonts w:ascii="仿宋" w:hAnsi="仿宋" w:eastAsia="仿宋" w:cs="仿宋"/>
          <w:kern w:val="0"/>
          <w:szCs w:val="21"/>
        </w:rPr>
      </w:pPr>
      <w:r>
        <w:rPr>
          <w:rFonts w:hint="eastAsia" w:ascii="仿宋" w:hAnsi="仿宋" w:eastAsia="仿宋" w:cs="仿宋"/>
          <w:kern w:val="0"/>
          <w:szCs w:val="21"/>
        </w:rPr>
        <w:t>我院是中国地震局直属的高等院校，地处河北省三河市燕郊经济技术开发区，因学院发展需要，拟对以下项目进行采购，具体如下：</w:t>
      </w:r>
    </w:p>
    <w:p>
      <w:pPr>
        <w:spacing w:line="360" w:lineRule="auto"/>
        <w:ind w:firstLine="420" w:firstLineChars="200"/>
        <w:rPr>
          <w:rFonts w:ascii="仿宋" w:hAnsi="仿宋" w:eastAsia="仿宋" w:cs="仿宋"/>
          <w:b/>
          <w:kern w:val="0"/>
          <w:szCs w:val="21"/>
        </w:rPr>
      </w:pPr>
      <w:r>
        <w:rPr>
          <w:rFonts w:hint="eastAsia" w:ascii="仿宋" w:hAnsi="仿宋" w:eastAsia="仿宋" w:cs="仿宋"/>
          <w:b/>
          <w:kern w:val="0"/>
          <w:szCs w:val="21"/>
        </w:rPr>
        <w:t>1.1项目概况</w:t>
      </w:r>
    </w:p>
    <w:p>
      <w:pPr>
        <w:spacing w:line="360" w:lineRule="auto"/>
        <w:ind w:firstLine="315" w:firstLineChars="150"/>
        <w:rPr>
          <w:rFonts w:ascii="仿宋" w:hAnsi="仿宋" w:eastAsia="仿宋" w:cs="仿宋"/>
          <w:kern w:val="0"/>
          <w:szCs w:val="21"/>
        </w:rPr>
      </w:pPr>
      <w:r>
        <w:rPr>
          <w:rFonts w:hint="eastAsia" w:ascii="仿宋" w:hAnsi="仿宋" w:eastAsia="仿宋" w:cs="仿宋"/>
          <w:kern w:val="0"/>
          <w:szCs w:val="21"/>
        </w:rPr>
        <w:t>防灾科技学院电子探针实验室改造和搬迁——电子探针搬迁采购项目：</w:t>
      </w:r>
    </w:p>
    <w:tbl>
      <w:tblPr>
        <w:tblStyle w:val="43"/>
        <w:tblpPr w:leftFromText="180" w:rightFromText="180" w:vertAnchor="text" w:horzAnchor="page" w:tblpX="1653" w:tblpY="196"/>
        <w:tblOverlap w:val="never"/>
        <w:tblW w:w="7987" w:type="dxa"/>
        <w:tblInd w:w="0" w:type="dxa"/>
        <w:tblLayout w:type="fixed"/>
        <w:tblCellMar>
          <w:top w:w="0" w:type="dxa"/>
          <w:left w:w="0" w:type="dxa"/>
          <w:bottom w:w="0" w:type="dxa"/>
          <w:right w:w="0" w:type="dxa"/>
        </w:tblCellMar>
      </w:tblPr>
      <w:tblGrid>
        <w:gridCol w:w="3682"/>
        <w:gridCol w:w="1665"/>
        <w:gridCol w:w="2640"/>
      </w:tblGrid>
      <w:tr>
        <w:tblPrEx>
          <w:tblLayout w:type="fixed"/>
          <w:tblCellMar>
            <w:top w:w="0" w:type="dxa"/>
            <w:left w:w="0" w:type="dxa"/>
            <w:bottom w:w="0" w:type="dxa"/>
            <w:right w:w="0" w:type="dxa"/>
          </w:tblCellMar>
        </w:tblPrEx>
        <w:trPr>
          <w:trHeight w:val="285" w:hRule="atLeast"/>
        </w:trPr>
        <w:tc>
          <w:tcPr>
            <w:tcW w:w="368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名称型号</w:t>
            </w:r>
          </w:p>
        </w:tc>
        <w:tc>
          <w:tcPr>
            <w:tcW w:w="16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数量</w:t>
            </w:r>
          </w:p>
        </w:tc>
        <w:tc>
          <w:tcPr>
            <w:tcW w:w="26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单位</w:t>
            </w:r>
          </w:p>
        </w:tc>
      </w:tr>
      <w:tr>
        <w:tblPrEx>
          <w:tblLayout w:type="fixed"/>
          <w:tblCellMar>
            <w:top w:w="0" w:type="dxa"/>
            <w:left w:w="0" w:type="dxa"/>
            <w:bottom w:w="0" w:type="dxa"/>
            <w:right w:w="0" w:type="dxa"/>
          </w:tblCellMar>
        </w:tblPrEx>
        <w:trPr>
          <w:trHeight w:val="300" w:hRule="atLeast"/>
        </w:trPr>
        <w:tc>
          <w:tcPr>
            <w:tcW w:w="36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Cs w:val="21"/>
              </w:rPr>
            </w:pPr>
            <w:r>
              <w:rPr>
                <w:rFonts w:hint="eastAsia" w:ascii="仿宋" w:hAnsi="仿宋" w:eastAsia="仿宋" w:cs="仿宋"/>
                <w:kern w:val="0"/>
                <w:szCs w:val="21"/>
              </w:rPr>
              <w:t>电子探针显微分析仪（仪器主机）</w:t>
            </w:r>
          </w:p>
        </w:tc>
        <w:tc>
          <w:tcPr>
            <w:tcW w:w="16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26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台</w:t>
            </w:r>
          </w:p>
        </w:tc>
      </w:tr>
      <w:tr>
        <w:tblPrEx>
          <w:tblLayout w:type="fixed"/>
          <w:tblCellMar>
            <w:top w:w="0" w:type="dxa"/>
            <w:left w:w="0" w:type="dxa"/>
            <w:bottom w:w="0" w:type="dxa"/>
            <w:right w:w="0" w:type="dxa"/>
          </w:tblCellMar>
        </w:tblPrEx>
        <w:trPr>
          <w:trHeight w:val="300" w:hRule="atLeast"/>
        </w:trPr>
        <w:tc>
          <w:tcPr>
            <w:tcW w:w="36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Cs w:val="21"/>
              </w:rPr>
            </w:pPr>
            <w:r>
              <w:rPr>
                <w:rFonts w:hint="eastAsia" w:ascii="仿宋" w:hAnsi="仿宋" w:eastAsia="仿宋" w:cs="仿宋"/>
                <w:kern w:val="0"/>
                <w:szCs w:val="21"/>
              </w:rPr>
              <w:t>电子探针附件</w:t>
            </w:r>
          </w:p>
        </w:tc>
        <w:tc>
          <w:tcPr>
            <w:tcW w:w="16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42</w:t>
            </w:r>
          </w:p>
        </w:tc>
        <w:tc>
          <w:tcPr>
            <w:tcW w:w="26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个</w:t>
            </w:r>
          </w:p>
        </w:tc>
      </w:tr>
    </w:tbl>
    <w:p>
      <w:pPr>
        <w:spacing w:line="360" w:lineRule="auto"/>
        <w:rPr>
          <w:rFonts w:ascii="仿宋" w:hAnsi="仿宋" w:eastAsia="仿宋" w:cs="仿宋"/>
          <w:kern w:val="0"/>
          <w:szCs w:val="21"/>
        </w:rPr>
      </w:pPr>
    </w:p>
    <w:p>
      <w:pPr>
        <w:spacing w:line="360" w:lineRule="auto"/>
        <w:ind w:firstLine="420" w:firstLineChars="200"/>
        <w:rPr>
          <w:rFonts w:ascii="仿宋" w:hAnsi="仿宋" w:eastAsia="仿宋" w:cs="仿宋"/>
          <w:kern w:val="0"/>
          <w:szCs w:val="21"/>
        </w:rPr>
      </w:pPr>
    </w:p>
    <w:p>
      <w:pPr>
        <w:autoSpaceDE w:val="0"/>
        <w:autoSpaceDN w:val="0"/>
        <w:adjustRightInd w:val="0"/>
        <w:spacing w:line="600" w:lineRule="exact"/>
        <w:jc w:val="left"/>
        <w:textAlignment w:val="baseline"/>
        <w:rPr>
          <w:rFonts w:ascii="仿宋" w:hAnsi="仿宋" w:eastAsia="仿宋" w:cs="仿宋"/>
          <w:kern w:val="0"/>
          <w:szCs w:val="21"/>
        </w:rPr>
      </w:pPr>
    </w:p>
    <w:p>
      <w:pPr>
        <w:pStyle w:val="3"/>
        <w:spacing w:before="0" w:after="0" w:line="360" w:lineRule="auto"/>
        <w:jc w:val="left"/>
        <w:rPr>
          <w:rFonts w:ascii="仿宋" w:hAnsi="仿宋" w:eastAsia="仿宋" w:cs="仿宋"/>
          <w:sz w:val="21"/>
          <w:szCs w:val="21"/>
        </w:rPr>
      </w:pPr>
      <w:bookmarkStart w:id="11" w:name="_Toc380479089"/>
      <w:r>
        <w:rPr>
          <w:rFonts w:hint="eastAsia" w:ascii="仿宋" w:hAnsi="仿宋" w:eastAsia="仿宋" w:cs="仿宋"/>
          <w:sz w:val="21"/>
          <w:szCs w:val="21"/>
        </w:rPr>
        <w:t>2．合格供应商资格条件</w:t>
      </w:r>
      <w:bookmarkEnd w:id="11"/>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3"/>
        <w:spacing w:before="0" w:after="0" w:line="360" w:lineRule="auto"/>
        <w:jc w:val="left"/>
        <w:rPr>
          <w:rFonts w:ascii="仿宋" w:hAnsi="仿宋" w:eastAsia="仿宋" w:cs="仿宋"/>
          <w:sz w:val="21"/>
          <w:szCs w:val="21"/>
        </w:rPr>
      </w:pPr>
      <w:bookmarkStart w:id="12" w:name="_Toc380479090"/>
      <w:r>
        <w:rPr>
          <w:rFonts w:hint="eastAsia" w:ascii="仿宋" w:hAnsi="仿宋" w:eastAsia="仿宋" w:cs="仿宋"/>
          <w:sz w:val="21"/>
          <w:szCs w:val="21"/>
        </w:rPr>
        <w:t>3．适用法律和谈判费用</w:t>
      </w:r>
      <w:bookmarkEnd w:id="12"/>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16"/>
        <w:spacing w:line="360" w:lineRule="auto"/>
        <w:rPr>
          <w:rFonts w:ascii="仿宋" w:hAnsi="仿宋" w:eastAsia="仿宋" w:cs="仿宋"/>
          <w:sz w:val="21"/>
          <w:szCs w:val="21"/>
        </w:rPr>
      </w:pPr>
    </w:p>
    <w:p>
      <w:pPr>
        <w:pStyle w:val="3"/>
        <w:spacing w:before="0" w:after="0" w:line="360" w:lineRule="auto"/>
        <w:rPr>
          <w:rFonts w:ascii="仿宋" w:hAnsi="仿宋" w:eastAsia="仿宋" w:cs="仿宋"/>
          <w:sz w:val="21"/>
          <w:szCs w:val="21"/>
        </w:rPr>
      </w:pPr>
      <w:bookmarkStart w:id="13" w:name="_Toc380479091"/>
      <w:r>
        <w:rPr>
          <w:rFonts w:hint="eastAsia" w:ascii="仿宋" w:hAnsi="仿宋" w:eastAsia="仿宋" w:cs="仿宋"/>
          <w:sz w:val="21"/>
          <w:szCs w:val="21"/>
        </w:rPr>
        <w:t>二  谈判文件</w:t>
      </w:r>
      <w:bookmarkEnd w:id="13"/>
    </w:p>
    <w:p>
      <w:pPr>
        <w:pStyle w:val="3"/>
        <w:spacing w:before="0" w:after="0" w:line="360" w:lineRule="auto"/>
        <w:jc w:val="left"/>
        <w:rPr>
          <w:rFonts w:ascii="仿宋" w:hAnsi="仿宋" w:eastAsia="仿宋" w:cs="仿宋"/>
          <w:sz w:val="21"/>
          <w:szCs w:val="21"/>
        </w:rPr>
      </w:pPr>
      <w:bookmarkStart w:id="14" w:name="_Toc380479092"/>
      <w:r>
        <w:rPr>
          <w:rFonts w:hint="eastAsia" w:ascii="仿宋" w:hAnsi="仿宋" w:eastAsia="仿宋" w:cs="仿宋"/>
          <w:sz w:val="21"/>
          <w:szCs w:val="21"/>
        </w:rPr>
        <w:t>4．谈判文件构成</w:t>
      </w:r>
      <w:bookmarkEnd w:id="14"/>
    </w:p>
    <w:p>
      <w:pPr>
        <w:spacing w:line="360" w:lineRule="auto"/>
        <w:rPr>
          <w:rFonts w:ascii="仿宋" w:hAnsi="仿宋" w:eastAsia="仿宋" w:cs="仿宋"/>
          <w:b/>
          <w:szCs w:val="21"/>
        </w:rPr>
      </w:pPr>
      <w:r>
        <w:rPr>
          <w:rFonts w:hint="eastAsia" w:ascii="仿宋" w:hAnsi="仿宋" w:eastAsia="仿宋" w:cs="仿宋"/>
          <w:bCs/>
          <w:szCs w:val="21"/>
        </w:rPr>
        <w:t xml:space="preserve">4.1 </w:t>
      </w:r>
      <w:r>
        <w:rPr>
          <w:rFonts w:hint="eastAsia" w:ascii="仿宋" w:hAnsi="仿宋" w:eastAsia="仿宋" w:cs="仿宋"/>
          <w:szCs w:val="21"/>
        </w:rPr>
        <w:t>谈判文件包括：采购邀请（含采购公告）、谈判供应商须知、采购需求、附件。</w:t>
      </w:r>
    </w:p>
    <w:p>
      <w:pPr>
        <w:spacing w:line="360" w:lineRule="auto"/>
        <w:rPr>
          <w:rFonts w:ascii="仿宋" w:hAnsi="仿宋" w:eastAsia="仿宋" w:cs="仿宋"/>
          <w:b/>
          <w:szCs w:val="21"/>
        </w:rPr>
      </w:pPr>
      <w:r>
        <w:rPr>
          <w:rFonts w:hint="eastAsia" w:ascii="仿宋" w:hAnsi="仿宋" w:eastAsia="仿宋" w:cs="仿宋"/>
          <w:bCs/>
          <w:szCs w:val="21"/>
        </w:rPr>
        <w:t xml:space="preserve">4.2 </w:t>
      </w:r>
      <w:r>
        <w:rPr>
          <w:rFonts w:hint="eastAsia" w:ascii="仿宋" w:hAnsi="仿宋" w:eastAsia="仿宋"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3"/>
        <w:spacing w:before="0" w:after="0" w:line="360" w:lineRule="auto"/>
        <w:jc w:val="left"/>
        <w:rPr>
          <w:rFonts w:ascii="仿宋" w:hAnsi="仿宋" w:eastAsia="仿宋" w:cs="仿宋"/>
          <w:sz w:val="21"/>
          <w:szCs w:val="21"/>
        </w:rPr>
      </w:pPr>
      <w:bookmarkStart w:id="15" w:name="_Toc380479093"/>
      <w:r>
        <w:rPr>
          <w:rFonts w:hint="eastAsia" w:ascii="仿宋" w:hAnsi="仿宋" w:eastAsia="仿宋" w:cs="仿宋"/>
          <w:sz w:val="21"/>
          <w:szCs w:val="21"/>
        </w:rPr>
        <w:t>5．谈判文件的澄清或者修改</w:t>
      </w:r>
      <w:bookmarkEnd w:id="15"/>
    </w:p>
    <w:p>
      <w:pPr>
        <w:spacing w:line="360" w:lineRule="auto"/>
        <w:rPr>
          <w:rFonts w:ascii="仿宋" w:hAnsi="仿宋" w:eastAsia="仿宋" w:cs="仿宋"/>
          <w:b/>
          <w:szCs w:val="21"/>
        </w:rPr>
      </w:pPr>
      <w:r>
        <w:rPr>
          <w:rFonts w:hint="eastAsia" w:ascii="仿宋" w:hAnsi="仿宋" w:eastAsia="仿宋" w:cs="仿宋"/>
          <w:szCs w:val="21"/>
        </w:rPr>
        <w:t>5.1 在首次提交响应文件截止时间前，</w:t>
      </w:r>
      <w:r>
        <w:rPr>
          <w:rFonts w:hint="eastAsia" w:ascii="仿宋" w:hAnsi="仿宋" w:eastAsia="仿宋" w:cs="仿宋"/>
          <w:kern w:val="0"/>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Cs w:val="21"/>
        </w:rPr>
        <w:t>对谈判文件的修改，将以书面形式通知已获取谈判文件的每一谈判供应商。</w:t>
      </w:r>
    </w:p>
    <w:p>
      <w:pPr>
        <w:spacing w:line="360" w:lineRule="auto"/>
        <w:rPr>
          <w:rFonts w:ascii="仿宋" w:hAnsi="仿宋" w:eastAsia="仿宋" w:cs="仿宋"/>
          <w:szCs w:val="21"/>
        </w:rPr>
      </w:pPr>
      <w:r>
        <w:rPr>
          <w:rFonts w:hint="eastAsia" w:ascii="仿宋" w:hAnsi="仿宋" w:eastAsia="仿宋"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仿宋" w:hAnsi="仿宋" w:eastAsia="仿宋" w:cs="仿宋"/>
          <w:szCs w:val="21"/>
        </w:rPr>
      </w:pPr>
      <w:r>
        <w:rPr>
          <w:rFonts w:hint="eastAsia" w:ascii="仿宋" w:hAnsi="仿宋" w:eastAsia="仿宋"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pStyle w:val="3"/>
        <w:spacing w:before="0" w:after="0" w:line="360" w:lineRule="auto"/>
        <w:rPr>
          <w:rFonts w:ascii="仿宋" w:hAnsi="仿宋" w:eastAsia="仿宋" w:cs="仿宋"/>
          <w:sz w:val="21"/>
          <w:szCs w:val="21"/>
        </w:rPr>
      </w:pPr>
      <w:bookmarkStart w:id="16" w:name="_Toc380479094"/>
      <w:r>
        <w:rPr>
          <w:rFonts w:hint="eastAsia" w:ascii="仿宋" w:hAnsi="仿宋" w:eastAsia="仿宋" w:cs="仿宋"/>
          <w:sz w:val="21"/>
          <w:szCs w:val="21"/>
        </w:rPr>
        <w:t>三  响应文件的编制</w:t>
      </w:r>
      <w:bookmarkEnd w:id="16"/>
    </w:p>
    <w:p>
      <w:pPr>
        <w:pStyle w:val="3"/>
        <w:spacing w:before="0" w:after="0" w:line="360" w:lineRule="auto"/>
        <w:jc w:val="left"/>
        <w:rPr>
          <w:rFonts w:ascii="仿宋" w:hAnsi="仿宋" w:eastAsia="仿宋" w:cs="仿宋"/>
          <w:sz w:val="21"/>
          <w:szCs w:val="21"/>
        </w:rPr>
      </w:pPr>
      <w:bookmarkStart w:id="17" w:name="_Toc380479095"/>
      <w:r>
        <w:rPr>
          <w:rFonts w:hint="eastAsia" w:ascii="仿宋" w:hAnsi="仿宋" w:eastAsia="仿宋" w:cs="仿宋"/>
          <w:sz w:val="21"/>
          <w:szCs w:val="21"/>
        </w:rPr>
        <w:t>6．响应文件的构成</w:t>
      </w:r>
      <w:bookmarkEnd w:id="17"/>
    </w:p>
    <w:p>
      <w:pPr>
        <w:pStyle w:val="18"/>
        <w:spacing w:line="360" w:lineRule="auto"/>
        <w:rPr>
          <w:rFonts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spacing w:line="360" w:lineRule="auto"/>
        <w:rPr>
          <w:rFonts w:ascii="仿宋" w:hAnsi="仿宋" w:eastAsia="仿宋" w:cs="仿宋"/>
          <w:szCs w:val="21"/>
        </w:rPr>
      </w:pPr>
      <w:r>
        <w:rPr>
          <w:rFonts w:hint="eastAsia" w:ascii="仿宋" w:hAnsi="仿宋" w:eastAsia="仿宋" w:cs="仿宋"/>
          <w:szCs w:val="21"/>
        </w:rPr>
        <w:t>（1）报价函；</w:t>
      </w:r>
    </w:p>
    <w:p>
      <w:pPr>
        <w:spacing w:line="360" w:lineRule="auto"/>
        <w:rPr>
          <w:rFonts w:ascii="仿宋" w:hAnsi="仿宋" w:eastAsia="仿宋" w:cs="仿宋"/>
          <w:szCs w:val="21"/>
        </w:rPr>
      </w:pPr>
      <w:r>
        <w:rPr>
          <w:rFonts w:hint="eastAsia" w:ascii="仿宋" w:hAnsi="仿宋" w:eastAsia="仿宋" w:cs="仿宋"/>
          <w:szCs w:val="21"/>
        </w:rPr>
        <w:t>（2）参考报价表；</w:t>
      </w:r>
    </w:p>
    <w:p>
      <w:pPr>
        <w:spacing w:line="360" w:lineRule="auto"/>
        <w:rPr>
          <w:rFonts w:ascii="仿宋" w:hAnsi="仿宋" w:eastAsia="仿宋" w:cs="仿宋"/>
          <w:szCs w:val="21"/>
        </w:rPr>
      </w:pPr>
      <w:r>
        <w:rPr>
          <w:rFonts w:hint="eastAsia" w:ascii="仿宋" w:hAnsi="仿宋" w:eastAsia="仿宋" w:cs="仿宋"/>
          <w:szCs w:val="21"/>
        </w:rPr>
        <w:t>（3）采购需求响应方案：见</w:t>
      </w:r>
      <w:r>
        <w:rPr>
          <w:rFonts w:hint="eastAsia" w:ascii="仿宋" w:hAnsi="仿宋" w:eastAsia="仿宋" w:cs="仿宋"/>
          <w:szCs w:val="21"/>
          <w:u w:val="single"/>
        </w:rPr>
        <w:t>前附表</w:t>
      </w:r>
      <w:r>
        <w:rPr>
          <w:rFonts w:hint="eastAsia" w:ascii="仿宋" w:hAnsi="仿宋" w:eastAsia="仿宋" w:cs="仿宋"/>
          <w:szCs w:val="21"/>
        </w:rPr>
        <w:t>要求；</w:t>
      </w:r>
    </w:p>
    <w:p>
      <w:pPr>
        <w:spacing w:line="360" w:lineRule="auto"/>
        <w:rPr>
          <w:rFonts w:ascii="仿宋" w:hAnsi="仿宋" w:eastAsia="仿宋" w:cs="仿宋"/>
          <w:szCs w:val="21"/>
        </w:rPr>
      </w:pPr>
      <w:r>
        <w:rPr>
          <w:rFonts w:hint="eastAsia" w:ascii="仿宋" w:hAnsi="仿宋" w:eastAsia="仿宋" w:cs="仿宋"/>
          <w:szCs w:val="21"/>
        </w:rPr>
        <w:t>（4）合同条款应答表；</w:t>
      </w:r>
    </w:p>
    <w:p>
      <w:pPr>
        <w:spacing w:line="360" w:lineRule="auto"/>
        <w:rPr>
          <w:rFonts w:ascii="仿宋" w:hAnsi="仿宋" w:eastAsia="仿宋" w:cs="仿宋"/>
          <w:kern w:val="0"/>
          <w:szCs w:val="21"/>
        </w:rPr>
      </w:pPr>
      <w:r>
        <w:rPr>
          <w:rFonts w:hint="eastAsia" w:ascii="仿宋" w:hAnsi="仿宋" w:eastAsia="仿宋" w:cs="仿宋"/>
          <w:szCs w:val="21"/>
        </w:rPr>
        <w:t>（5）资格证明文件：见</w:t>
      </w:r>
      <w:r>
        <w:rPr>
          <w:rFonts w:hint="eastAsia" w:ascii="仿宋" w:hAnsi="仿宋" w:eastAsia="仿宋" w:cs="仿宋"/>
          <w:kern w:val="0"/>
          <w:szCs w:val="21"/>
          <w:u w:val="single"/>
        </w:rPr>
        <w:t>前附表</w:t>
      </w:r>
      <w:r>
        <w:rPr>
          <w:rFonts w:hint="eastAsia" w:ascii="仿宋" w:hAnsi="仿宋" w:eastAsia="仿宋" w:cs="仿宋"/>
          <w:kern w:val="0"/>
          <w:szCs w:val="21"/>
        </w:rPr>
        <w:t>要求；</w:t>
      </w:r>
    </w:p>
    <w:p>
      <w:pPr>
        <w:spacing w:line="360" w:lineRule="auto"/>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u w:val="single"/>
        </w:rPr>
        <w:t>前附表</w:t>
      </w:r>
      <w:r>
        <w:rPr>
          <w:rFonts w:hint="eastAsia" w:ascii="仿宋" w:hAnsi="仿宋" w:eastAsia="仿宋" w:cs="仿宋"/>
          <w:szCs w:val="21"/>
        </w:rPr>
        <w:t>要求的其他内容。</w:t>
      </w:r>
    </w:p>
    <w:p>
      <w:pPr>
        <w:spacing w:line="360" w:lineRule="auto"/>
        <w:ind w:firstLine="570"/>
        <w:rPr>
          <w:rFonts w:ascii="仿宋" w:hAnsi="仿宋" w:eastAsia="仿宋" w:cs="仿宋"/>
          <w:b/>
          <w:szCs w:val="21"/>
        </w:rPr>
      </w:pPr>
      <w:r>
        <w:rPr>
          <w:rFonts w:hint="eastAsia" w:ascii="仿宋" w:hAnsi="仿宋" w:eastAsia="仿宋" w:cs="仿宋"/>
          <w:b/>
          <w:szCs w:val="21"/>
        </w:rPr>
        <w:t xml:space="preserve">以上内容均为实质性要求，谈判供应商未按上述要求编写响应文件而造成内容不完整的，视为没有对谈判文件作出实质性响应，其响应文件按无效处理。 </w:t>
      </w:r>
    </w:p>
    <w:p>
      <w:pPr>
        <w:pStyle w:val="3"/>
        <w:spacing w:before="0" w:after="0" w:line="360" w:lineRule="auto"/>
        <w:jc w:val="left"/>
        <w:rPr>
          <w:rFonts w:ascii="仿宋" w:hAnsi="仿宋" w:eastAsia="仿宋" w:cs="仿宋"/>
          <w:sz w:val="21"/>
          <w:szCs w:val="21"/>
        </w:rPr>
      </w:pPr>
      <w:bookmarkStart w:id="18" w:name="_Toc380479096"/>
      <w:r>
        <w:rPr>
          <w:rFonts w:hint="eastAsia" w:ascii="仿宋" w:hAnsi="仿宋" w:eastAsia="仿宋" w:cs="仿宋"/>
          <w:sz w:val="21"/>
          <w:szCs w:val="21"/>
        </w:rPr>
        <w:t>7．报价</w:t>
      </w:r>
      <w:bookmarkEnd w:id="18"/>
    </w:p>
    <w:p>
      <w:pPr>
        <w:spacing w:line="360" w:lineRule="auto"/>
        <w:rPr>
          <w:rFonts w:ascii="仿宋" w:hAnsi="仿宋" w:eastAsia="仿宋" w:cs="仿宋"/>
          <w:szCs w:val="21"/>
        </w:rPr>
      </w:pPr>
      <w:r>
        <w:rPr>
          <w:rFonts w:hint="eastAsia" w:ascii="仿宋" w:hAnsi="仿宋" w:eastAsia="仿宋"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仿宋" w:hAnsi="仿宋" w:eastAsia="仿宋" w:cs="仿宋"/>
          <w:szCs w:val="21"/>
        </w:rPr>
      </w:pPr>
      <w:r>
        <w:rPr>
          <w:rFonts w:hint="eastAsia" w:ascii="仿宋" w:hAnsi="仿宋" w:eastAsia="仿宋" w:cs="仿宋"/>
          <w:szCs w:val="21"/>
        </w:rPr>
        <w:t>7.2 每项服务内容只能有一个报价，不接受具有附加条件的报价，否则其响应文件将作为无效处理。</w:t>
      </w:r>
    </w:p>
    <w:p>
      <w:pPr>
        <w:pStyle w:val="3"/>
        <w:spacing w:before="0" w:after="0" w:line="360" w:lineRule="auto"/>
        <w:jc w:val="left"/>
        <w:rPr>
          <w:rFonts w:ascii="仿宋" w:hAnsi="仿宋" w:eastAsia="仿宋" w:cs="仿宋"/>
          <w:sz w:val="21"/>
          <w:szCs w:val="21"/>
        </w:rPr>
      </w:pPr>
      <w:bookmarkStart w:id="19" w:name="_Toc380479097"/>
      <w:r>
        <w:rPr>
          <w:rFonts w:hint="eastAsia" w:ascii="仿宋" w:hAnsi="仿宋" w:eastAsia="仿宋" w:cs="仿宋"/>
          <w:sz w:val="21"/>
          <w:szCs w:val="21"/>
        </w:rPr>
        <w:t>8. 响应文件有效期</w:t>
      </w:r>
      <w:bookmarkEnd w:id="19"/>
    </w:p>
    <w:p>
      <w:pPr>
        <w:spacing w:line="360" w:lineRule="auto"/>
        <w:rPr>
          <w:rFonts w:ascii="仿宋" w:hAnsi="仿宋" w:eastAsia="仿宋" w:cs="仿宋"/>
          <w:szCs w:val="21"/>
        </w:rPr>
      </w:pPr>
      <w:r>
        <w:rPr>
          <w:rFonts w:hint="eastAsia" w:ascii="仿宋" w:hAnsi="仿宋" w:eastAsia="仿宋" w:cs="仿宋"/>
          <w:szCs w:val="21"/>
        </w:rPr>
        <w:t>8.1 响应文件应自首次提交之日起，按照</w:t>
      </w:r>
      <w:r>
        <w:rPr>
          <w:rFonts w:hint="eastAsia" w:ascii="仿宋" w:hAnsi="仿宋" w:eastAsia="仿宋" w:cs="仿宋"/>
          <w:szCs w:val="21"/>
          <w:u w:val="single"/>
        </w:rPr>
        <w:t>前附表</w:t>
      </w:r>
      <w:r>
        <w:rPr>
          <w:rFonts w:hint="eastAsia" w:ascii="仿宋" w:hAnsi="仿宋" w:eastAsia="仿宋" w:cs="仿宋"/>
          <w:szCs w:val="21"/>
        </w:rPr>
        <w:t>中规定时间内保持有效，有效期短于要求的响应文件将按无效处理。</w:t>
      </w:r>
    </w:p>
    <w:p>
      <w:pPr>
        <w:spacing w:line="360" w:lineRule="auto"/>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20" w:name="_Toc380479098"/>
      <w:r>
        <w:rPr>
          <w:rFonts w:hint="eastAsia" w:ascii="仿宋" w:hAnsi="仿宋" w:eastAsia="仿宋" w:cs="仿宋"/>
          <w:sz w:val="21"/>
          <w:szCs w:val="21"/>
        </w:rPr>
        <w:t>四  响应文件的签署规定和递交</w:t>
      </w:r>
      <w:bookmarkEnd w:id="20"/>
    </w:p>
    <w:p>
      <w:pPr>
        <w:pStyle w:val="3"/>
        <w:spacing w:before="0" w:after="0" w:line="360" w:lineRule="auto"/>
        <w:jc w:val="left"/>
        <w:rPr>
          <w:rFonts w:ascii="仿宋" w:hAnsi="仿宋" w:eastAsia="仿宋" w:cs="仿宋"/>
          <w:sz w:val="21"/>
          <w:szCs w:val="21"/>
        </w:rPr>
      </w:pPr>
      <w:bookmarkStart w:id="21" w:name="_Toc380479099"/>
      <w:r>
        <w:rPr>
          <w:rFonts w:hint="eastAsia" w:ascii="仿宋" w:hAnsi="仿宋" w:eastAsia="仿宋" w:cs="仿宋"/>
          <w:sz w:val="21"/>
          <w:szCs w:val="21"/>
        </w:rPr>
        <w:t>9．响应文件签署及规定</w:t>
      </w:r>
      <w:bookmarkEnd w:id="21"/>
    </w:p>
    <w:p>
      <w:pPr>
        <w:tabs>
          <w:tab w:val="left" w:pos="995"/>
        </w:tabs>
        <w:spacing w:line="360" w:lineRule="auto"/>
        <w:rPr>
          <w:rFonts w:ascii="仿宋" w:hAnsi="仿宋" w:eastAsia="仿宋" w:cs="仿宋"/>
          <w:szCs w:val="21"/>
        </w:rPr>
      </w:pPr>
      <w:r>
        <w:rPr>
          <w:rFonts w:hint="eastAsia" w:ascii="仿宋" w:hAnsi="仿宋" w:eastAsia="仿宋" w:cs="仿宋"/>
          <w:szCs w:val="21"/>
        </w:rPr>
        <w:t>9.1 谈判供应商应按</w:t>
      </w:r>
      <w:r>
        <w:rPr>
          <w:rFonts w:hint="eastAsia" w:ascii="仿宋" w:hAnsi="仿宋" w:eastAsia="仿宋" w:cs="仿宋"/>
          <w:szCs w:val="21"/>
          <w:u w:val="single"/>
        </w:rPr>
        <w:t>前附表</w:t>
      </w:r>
      <w:r>
        <w:rPr>
          <w:rFonts w:hint="eastAsia" w:ascii="仿宋" w:hAnsi="仿宋" w:eastAsia="仿宋"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仿宋" w:hAnsi="仿宋" w:eastAsia="仿宋" w:cs="仿宋"/>
          <w:szCs w:val="21"/>
        </w:rPr>
      </w:pPr>
      <w:r>
        <w:rPr>
          <w:rFonts w:hint="eastAsia" w:ascii="仿宋" w:hAnsi="仿宋" w:eastAsia="仿宋"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仿宋" w:hAnsi="仿宋" w:eastAsia="仿宋" w:cs="仿宋"/>
          <w:szCs w:val="21"/>
        </w:rPr>
      </w:pPr>
      <w:r>
        <w:rPr>
          <w:rFonts w:hint="eastAsia" w:ascii="仿宋" w:hAnsi="仿宋" w:eastAsia="仿宋"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仿宋" w:hAnsi="仿宋" w:eastAsia="仿宋" w:cs="仿宋"/>
          <w:szCs w:val="21"/>
        </w:rPr>
      </w:pPr>
      <w:r>
        <w:rPr>
          <w:rFonts w:hint="eastAsia" w:ascii="仿宋" w:hAnsi="仿宋" w:eastAsia="仿宋"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3"/>
        <w:spacing w:before="0" w:after="0" w:line="360" w:lineRule="auto"/>
        <w:jc w:val="left"/>
        <w:rPr>
          <w:rFonts w:ascii="仿宋" w:hAnsi="仿宋" w:eastAsia="仿宋" w:cs="仿宋"/>
          <w:sz w:val="21"/>
          <w:szCs w:val="21"/>
        </w:rPr>
      </w:pPr>
      <w:bookmarkStart w:id="22" w:name="_Toc380479100"/>
      <w:r>
        <w:rPr>
          <w:rFonts w:hint="eastAsia" w:ascii="仿宋" w:hAnsi="仿宋" w:eastAsia="仿宋" w:cs="仿宋"/>
          <w:sz w:val="21"/>
          <w:szCs w:val="21"/>
        </w:rPr>
        <w:t>10．响应文件的递交</w:t>
      </w:r>
      <w:bookmarkEnd w:id="22"/>
    </w:p>
    <w:p>
      <w:pPr>
        <w:spacing w:line="360" w:lineRule="auto"/>
        <w:rPr>
          <w:rFonts w:ascii="仿宋" w:hAnsi="仿宋" w:eastAsia="仿宋" w:cs="仿宋"/>
          <w:kern w:val="0"/>
          <w:szCs w:val="21"/>
        </w:rPr>
      </w:pPr>
      <w:r>
        <w:rPr>
          <w:rFonts w:hint="eastAsia" w:ascii="仿宋" w:hAnsi="仿宋" w:eastAsia="仿宋" w:cs="仿宋"/>
          <w:szCs w:val="21"/>
        </w:rPr>
        <w:t>10.1 响应文件及电子版应密封递交，封套上注明谈判供应商名称、项目编号及项目名称。首次提交的响应文件必须</w:t>
      </w:r>
      <w:r>
        <w:rPr>
          <w:rFonts w:hint="eastAsia" w:ascii="仿宋" w:hAnsi="仿宋" w:eastAsia="仿宋" w:cs="仿宋"/>
          <w:kern w:val="0"/>
          <w:szCs w:val="21"/>
        </w:rPr>
        <w:t>在第一章规定的截止时间前密封送达到指定地点。在截止时间后送达的响应文件为无效文件，招标方将拒收。</w:t>
      </w:r>
    </w:p>
    <w:p>
      <w:pPr>
        <w:spacing w:line="360" w:lineRule="auto"/>
        <w:ind w:firstLine="570"/>
        <w:rPr>
          <w:rFonts w:ascii="仿宋" w:hAnsi="仿宋" w:eastAsia="仿宋" w:cs="仿宋"/>
          <w:kern w:val="0"/>
          <w:szCs w:val="21"/>
        </w:rPr>
      </w:pPr>
    </w:p>
    <w:p>
      <w:pPr>
        <w:spacing w:line="360" w:lineRule="auto"/>
        <w:ind w:firstLine="570"/>
        <w:rPr>
          <w:rFonts w:ascii="仿宋" w:hAnsi="仿宋" w:eastAsia="仿宋" w:cs="仿宋"/>
          <w:b/>
          <w:szCs w:val="21"/>
        </w:rPr>
      </w:pPr>
    </w:p>
    <w:p>
      <w:pPr>
        <w:pStyle w:val="3"/>
        <w:spacing w:before="0" w:after="0" w:line="360" w:lineRule="auto"/>
        <w:rPr>
          <w:rFonts w:ascii="仿宋" w:hAnsi="仿宋" w:eastAsia="仿宋" w:cs="仿宋"/>
          <w:b w:val="0"/>
          <w:sz w:val="21"/>
          <w:szCs w:val="21"/>
        </w:rPr>
      </w:pPr>
      <w:bookmarkStart w:id="23" w:name="_Toc380479105"/>
      <w:r>
        <w:rPr>
          <w:rFonts w:hint="eastAsia" w:ascii="仿宋" w:hAnsi="仿宋" w:eastAsia="仿宋" w:cs="仿宋"/>
          <w:sz w:val="21"/>
          <w:szCs w:val="21"/>
        </w:rPr>
        <w:t>五  评审和谈判</w:t>
      </w:r>
      <w:bookmarkEnd w:id="23"/>
    </w:p>
    <w:p>
      <w:pPr>
        <w:pStyle w:val="3"/>
        <w:spacing w:before="0" w:after="0" w:line="360" w:lineRule="auto"/>
        <w:jc w:val="left"/>
        <w:rPr>
          <w:rFonts w:ascii="仿宋" w:hAnsi="仿宋" w:eastAsia="仿宋" w:cs="仿宋"/>
          <w:sz w:val="21"/>
          <w:szCs w:val="21"/>
        </w:rPr>
      </w:pPr>
      <w:bookmarkStart w:id="24" w:name="_Toc380479106"/>
      <w:r>
        <w:rPr>
          <w:rFonts w:hint="eastAsia" w:ascii="仿宋" w:hAnsi="仿宋" w:eastAsia="仿宋" w:cs="仿宋"/>
          <w:sz w:val="21"/>
          <w:szCs w:val="21"/>
        </w:rPr>
        <w:t>11．响应文件的评审与澄清</w:t>
      </w:r>
      <w:bookmarkEnd w:id="24"/>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仿宋" w:hAnsi="仿宋" w:eastAsia="仿宋" w:cs="仿宋"/>
          <w:szCs w:val="21"/>
        </w:rPr>
      </w:pPr>
      <w:r>
        <w:rPr>
          <w:rFonts w:hint="eastAsia" w:ascii="仿宋" w:hAnsi="仿宋" w:eastAsia="仿宋" w:cs="仿宋"/>
          <w:szCs w:val="21"/>
        </w:rPr>
        <w:t>11.3 出现下列情形之一的，将被认定为未实质性响应谈判文件：</w:t>
      </w:r>
    </w:p>
    <w:p>
      <w:pPr>
        <w:spacing w:line="360" w:lineRule="auto"/>
        <w:rPr>
          <w:rFonts w:ascii="仿宋" w:hAnsi="仿宋" w:eastAsia="仿宋" w:cs="仿宋"/>
          <w:szCs w:val="21"/>
        </w:rPr>
      </w:pPr>
      <w:r>
        <w:rPr>
          <w:rFonts w:hint="eastAsia" w:ascii="仿宋" w:hAnsi="仿宋" w:eastAsia="仿宋" w:cs="仿宋"/>
          <w:szCs w:val="21"/>
        </w:rPr>
        <w:t>（1）未按要求交纳保证金的；</w:t>
      </w:r>
    </w:p>
    <w:p>
      <w:pPr>
        <w:spacing w:line="360" w:lineRule="auto"/>
        <w:rPr>
          <w:rFonts w:ascii="仿宋" w:hAnsi="仿宋" w:eastAsia="仿宋" w:cs="仿宋"/>
          <w:szCs w:val="21"/>
        </w:rPr>
      </w:pPr>
      <w:r>
        <w:rPr>
          <w:rFonts w:hint="eastAsia" w:ascii="仿宋" w:hAnsi="仿宋" w:eastAsia="仿宋" w:cs="仿宋"/>
          <w:szCs w:val="21"/>
        </w:rPr>
        <w:t>（2）未按照谈判文件规定要求装订、密封、签署、盖章的；</w:t>
      </w:r>
    </w:p>
    <w:p>
      <w:pPr>
        <w:spacing w:line="360" w:lineRule="auto"/>
        <w:rPr>
          <w:rFonts w:ascii="仿宋" w:hAnsi="仿宋" w:eastAsia="仿宋" w:cs="仿宋"/>
          <w:szCs w:val="21"/>
        </w:rPr>
      </w:pPr>
      <w:r>
        <w:rPr>
          <w:rFonts w:hint="eastAsia" w:ascii="仿宋" w:hAnsi="仿宋" w:eastAsia="仿宋" w:cs="仿宋"/>
          <w:szCs w:val="21"/>
        </w:rPr>
        <w:t>（3）供应商在报价时采用选择性报价；</w:t>
      </w:r>
    </w:p>
    <w:p>
      <w:pPr>
        <w:spacing w:line="360" w:lineRule="auto"/>
        <w:rPr>
          <w:rFonts w:ascii="仿宋" w:hAnsi="仿宋" w:eastAsia="仿宋" w:cs="仿宋"/>
          <w:szCs w:val="21"/>
        </w:rPr>
      </w:pPr>
      <w:r>
        <w:rPr>
          <w:rFonts w:hint="eastAsia" w:ascii="仿宋" w:hAnsi="仿宋" w:eastAsia="仿宋" w:cs="仿宋"/>
          <w:szCs w:val="21"/>
        </w:rPr>
        <w:t>（4）供应商不具备谈判文件中规定资格要求的；</w:t>
      </w:r>
    </w:p>
    <w:p>
      <w:pPr>
        <w:spacing w:line="360" w:lineRule="auto"/>
        <w:rPr>
          <w:rFonts w:ascii="仿宋" w:hAnsi="仿宋" w:eastAsia="仿宋" w:cs="仿宋"/>
          <w:szCs w:val="21"/>
        </w:rPr>
      </w:pPr>
      <w:r>
        <w:rPr>
          <w:rFonts w:hint="eastAsia" w:ascii="仿宋" w:hAnsi="仿宋" w:eastAsia="仿宋" w:cs="仿宋"/>
          <w:szCs w:val="21"/>
        </w:rPr>
        <w:t>（5）不符合法律、法规和谈判文件中规定的其他实质性要求的（本谈判文件中用*、★、※等标明为实质性要求和条件）；</w:t>
      </w:r>
    </w:p>
    <w:p>
      <w:pPr>
        <w:spacing w:line="360" w:lineRule="auto"/>
        <w:rPr>
          <w:rFonts w:ascii="仿宋" w:hAnsi="仿宋" w:eastAsia="仿宋" w:cs="仿宋"/>
          <w:szCs w:val="21"/>
        </w:rPr>
      </w:pPr>
      <w:r>
        <w:rPr>
          <w:rFonts w:hint="eastAsia" w:ascii="仿宋" w:hAnsi="仿宋" w:eastAsia="仿宋" w:cs="仿宋"/>
          <w:szCs w:val="21"/>
        </w:rPr>
        <w:t>（6）不良信用记录；</w:t>
      </w:r>
    </w:p>
    <w:p>
      <w:pPr>
        <w:spacing w:line="360" w:lineRule="auto"/>
        <w:rPr>
          <w:rFonts w:ascii="仿宋" w:hAnsi="仿宋" w:eastAsia="仿宋" w:cs="仿宋"/>
          <w:szCs w:val="21"/>
        </w:rPr>
      </w:pPr>
      <w:r>
        <w:rPr>
          <w:rFonts w:hint="eastAsia" w:ascii="仿宋" w:hAnsi="仿宋" w:eastAsia="仿宋" w:cs="仿宋"/>
          <w:szCs w:val="21"/>
        </w:rPr>
        <w:t>（7）响应文件有效期少于</w:t>
      </w:r>
      <w:r>
        <w:rPr>
          <w:rFonts w:hint="eastAsia" w:ascii="仿宋" w:hAnsi="仿宋" w:eastAsia="仿宋" w:cs="仿宋"/>
          <w:szCs w:val="21"/>
          <w:u w:val="single"/>
        </w:rPr>
        <w:t>90</w:t>
      </w:r>
      <w:r>
        <w:rPr>
          <w:rFonts w:hint="eastAsia" w:ascii="仿宋" w:hAnsi="仿宋" w:eastAsia="仿宋" w:cs="仿宋"/>
          <w:szCs w:val="21"/>
        </w:rPr>
        <w:t>日历天；</w:t>
      </w:r>
    </w:p>
    <w:p>
      <w:pPr>
        <w:spacing w:line="360" w:lineRule="auto"/>
        <w:ind w:left="105" w:hanging="105" w:hangingChars="50"/>
        <w:rPr>
          <w:rFonts w:ascii="仿宋" w:hAnsi="仿宋" w:eastAsia="仿宋" w:cs="仿宋"/>
          <w:szCs w:val="21"/>
        </w:rPr>
      </w:pPr>
      <w:r>
        <w:rPr>
          <w:rFonts w:hint="eastAsia" w:ascii="仿宋" w:hAnsi="仿宋" w:eastAsia="仿宋" w:cs="仿宋"/>
          <w:szCs w:val="21"/>
        </w:rPr>
        <w:t>（8）其他法律、法规及本谈判文件规定的属于按无效处理的响应文件的情形。</w:t>
      </w:r>
    </w:p>
    <w:p>
      <w:pPr>
        <w:spacing w:line="360" w:lineRule="auto"/>
        <w:rPr>
          <w:rFonts w:ascii="仿宋" w:hAnsi="仿宋" w:eastAsia="仿宋" w:cs="仿宋"/>
          <w:szCs w:val="21"/>
        </w:rPr>
      </w:pPr>
      <w:r>
        <w:rPr>
          <w:rFonts w:hint="eastAsia" w:ascii="仿宋" w:hAnsi="仿宋" w:eastAsia="仿宋"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仿宋" w:hAnsi="仿宋" w:eastAsia="仿宋" w:cs="仿宋"/>
          <w:szCs w:val="21"/>
        </w:rPr>
      </w:pPr>
      <w:r>
        <w:rPr>
          <w:rFonts w:hint="eastAsia" w:ascii="仿宋" w:hAnsi="仿宋" w:eastAsia="仿宋" w:cs="仿宋"/>
          <w:szCs w:val="21"/>
        </w:rPr>
        <w:t>11.6信用记录</w:t>
      </w:r>
    </w:p>
    <w:p>
      <w:pPr>
        <w:spacing w:line="360" w:lineRule="auto"/>
        <w:rPr>
          <w:rFonts w:ascii="仿宋" w:hAnsi="仿宋" w:eastAsia="仿宋" w:cs="仿宋"/>
          <w:szCs w:val="21"/>
        </w:rPr>
      </w:pPr>
      <w:r>
        <w:rPr>
          <w:rFonts w:hint="eastAsia" w:ascii="仿宋" w:hAnsi="仿宋" w:eastAsia="仿宋"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仿宋" w:hAnsi="仿宋" w:eastAsia="仿宋" w:cs="仿宋"/>
          <w:szCs w:val="21"/>
        </w:rPr>
      </w:pPr>
      <w:r>
        <w:rPr>
          <w:rFonts w:hint="eastAsia" w:ascii="仿宋" w:hAnsi="仿宋" w:eastAsia="仿宋"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联合体投标的，联合体成员存在以上不良信用记录的，视同联合体存在不良信用记录。</w:t>
      </w:r>
    </w:p>
    <w:p>
      <w:pPr>
        <w:spacing w:line="360" w:lineRule="auto"/>
        <w:rPr>
          <w:rFonts w:ascii="仿宋" w:hAnsi="仿宋" w:eastAsia="仿宋" w:cs="仿宋"/>
          <w:szCs w:val="21"/>
        </w:rPr>
      </w:pPr>
      <w:r>
        <w:rPr>
          <w:rFonts w:hint="eastAsia" w:ascii="仿宋" w:hAnsi="仿宋" w:eastAsia="仿宋"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仿宋" w:hAnsi="仿宋" w:eastAsia="仿宋" w:cs="仿宋"/>
          <w:szCs w:val="21"/>
        </w:rPr>
      </w:pPr>
      <w:r>
        <w:rPr>
          <w:rFonts w:hint="eastAsia" w:ascii="仿宋" w:hAnsi="仿宋" w:eastAsia="仿宋" w:cs="仿宋"/>
          <w:szCs w:val="21"/>
        </w:rPr>
        <w:t>11.7 对未被认定为参加谈判的供应商和其它未实质性响应谈判文件的供应商，谈判小组将及时告知。</w:t>
      </w:r>
    </w:p>
    <w:p>
      <w:pPr>
        <w:pStyle w:val="3"/>
        <w:spacing w:before="0" w:after="0" w:line="360" w:lineRule="auto"/>
        <w:jc w:val="left"/>
        <w:rPr>
          <w:rFonts w:ascii="仿宋" w:hAnsi="仿宋" w:eastAsia="仿宋" w:cs="仿宋"/>
          <w:sz w:val="21"/>
          <w:szCs w:val="21"/>
        </w:rPr>
      </w:pPr>
      <w:bookmarkStart w:id="25" w:name="_Toc380479107"/>
      <w:r>
        <w:rPr>
          <w:rFonts w:hint="eastAsia" w:ascii="仿宋" w:hAnsi="仿宋" w:eastAsia="仿宋" w:cs="仿宋"/>
          <w:sz w:val="21"/>
          <w:szCs w:val="21"/>
        </w:rPr>
        <w:t>12．谈判</w:t>
      </w:r>
      <w:bookmarkEnd w:id="25"/>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12.2 谈判包括但不限于以下内容：</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（2）按</w:t>
      </w:r>
      <w:r>
        <w:rPr>
          <w:rFonts w:hint="eastAsia" w:ascii="仿宋" w:hAnsi="仿宋" w:eastAsia="仿宋" w:cs="仿宋"/>
          <w:szCs w:val="21"/>
          <w:u w:val="single"/>
        </w:rPr>
        <w:t>前附表</w:t>
      </w:r>
      <w:r>
        <w:rPr>
          <w:rFonts w:hint="eastAsia" w:ascii="仿宋" w:hAnsi="仿宋" w:eastAsia="仿宋" w:cs="仿宋"/>
          <w:szCs w:val="21"/>
        </w:rPr>
        <w:t>修改变动谈判文件，并及时以书面形式同时通知所有参加谈判的供应商；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（3）针对修改变动的谈判文件，与所有参加谈判的供应商进行确认或者询问。</w:t>
      </w:r>
    </w:p>
    <w:p>
      <w:pPr>
        <w:pStyle w:val="3"/>
        <w:spacing w:before="0" w:after="0" w:line="360" w:lineRule="auto"/>
        <w:jc w:val="left"/>
        <w:rPr>
          <w:rFonts w:ascii="仿宋" w:hAnsi="仿宋" w:eastAsia="仿宋" w:cs="仿宋"/>
          <w:sz w:val="21"/>
          <w:szCs w:val="21"/>
        </w:rPr>
      </w:pPr>
      <w:bookmarkStart w:id="26" w:name="_Toc380479108"/>
      <w:r>
        <w:rPr>
          <w:rFonts w:hint="eastAsia" w:ascii="仿宋" w:hAnsi="仿宋" w:eastAsia="仿宋" w:cs="仿宋"/>
          <w:sz w:val="21"/>
          <w:szCs w:val="21"/>
        </w:rPr>
        <w:t>13．保密原则</w:t>
      </w:r>
      <w:bookmarkEnd w:id="26"/>
    </w:p>
    <w:p>
      <w:pPr>
        <w:snapToGrid w:val="0"/>
        <w:spacing w:line="360" w:lineRule="auto"/>
        <w:rPr>
          <w:rFonts w:ascii="仿宋" w:hAnsi="仿宋" w:eastAsia="仿宋" w:cs="仿宋"/>
          <w:szCs w:val="21"/>
        </w:rPr>
      </w:pPr>
      <w:r>
        <w:rPr>
          <w:rFonts w:hint="eastAsia" w:ascii="仿宋" w:hAnsi="仿宋" w:eastAsia="仿宋"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27" w:name="_Toc380479109"/>
      <w:r>
        <w:rPr>
          <w:rFonts w:hint="eastAsia" w:ascii="仿宋" w:hAnsi="仿宋" w:eastAsia="仿宋" w:cs="仿宋"/>
          <w:sz w:val="21"/>
          <w:szCs w:val="21"/>
        </w:rPr>
        <w:t>六  最后报价</w:t>
      </w:r>
      <w:bookmarkEnd w:id="27"/>
    </w:p>
    <w:p>
      <w:pPr>
        <w:pStyle w:val="3"/>
        <w:spacing w:before="0" w:after="0" w:line="360" w:lineRule="auto"/>
        <w:jc w:val="left"/>
        <w:rPr>
          <w:rFonts w:ascii="仿宋" w:hAnsi="仿宋" w:eastAsia="仿宋" w:cs="仿宋"/>
          <w:sz w:val="21"/>
          <w:szCs w:val="21"/>
        </w:rPr>
      </w:pPr>
      <w:bookmarkStart w:id="28" w:name="_Toc380479110"/>
      <w:r>
        <w:rPr>
          <w:rFonts w:hint="eastAsia" w:ascii="仿宋" w:hAnsi="仿宋" w:eastAsia="仿宋" w:cs="仿宋"/>
          <w:sz w:val="21"/>
          <w:szCs w:val="21"/>
        </w:rPr>
        <w:t>14．最后报价的提交</w:t>
      </w:r>
      <w:bookmarkEnd w:id="28"/>
    </w:p>
    <w:p>
      <w:pPr>
        <w:spacing w:line="360" w:lineRule="auto"/>
        <w:rPr>
          <w:rFonts w:ascii="仿宋" w:hAnsi="仿宋" w:eastAsia="仿宋" w:cs="仿宋"/>
          <w:szCs w:val="21"/>
        </w:rPr>
      </w:pPr>
      <w:r>
        <w:rPr>
          <w:rFonts w:hint="eastAsia" w:ascii="仿宋" w:hAnsi="仿宋" w:eastAsia="仿宋" w:cs="仿宋"/>
          <w:szCs w:val="21"/>
        </w:rPr>
        <w:t>14.1 谈判结束后，所有继续参加谈判的供应商应在谈判小组规定时间内提交最后报价。如果</w:t>
      </w:r>
      <w:r>
        <w:rPr>
          <w:rFonts w:hint="eastAsia" w:ascii="仿宋" w:hAnsi="仿宋" w:eastAsia="仿宋"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仿宋" w:hAnsi="仿宋" w:eastAsia="仿宋" w:cs="仿宋"/>
          <w:szCs w:val="21"/>
        </w:rPr>
      </w:pPr>
      <w:r>
        <w:rPr>
          <w:rFonts w:hint="eastAsia" w:ascii="仿宋" w:hAnsi="仿宋" w:eastAsia="仿宋" w:cs="仿宋"/>
          <w:szCs w:val="21"/>
        </w:rPr>
        <w:t>14.2 最后报价是供应商响应文件的有效组成部分。</w:t>
      </w:r>
    </w:p>
    <w:p>
      <w:pPr>
        <w:spacing w:line="360" w:lineRule="auto"/>
        <w:rPr>
          <w:rFonts w:ascii="仿宋" w:hAnsi="仿宋" w:eastAsia="仿宋" w:cs="仿宋"/>
          <w:szCs w:val="21"/>
        </w:rPr>
      </w:pPr>
      <w:r>
        <w:rPr>
          <w:rFonts w:hint="eastAsia" w:ascii="仿宋" w:hAnsi="仿宋" w:eastAsia="仿宋" w:cs="仿宋"/>
          <w:szCs w:val="21"/>
        </w:rPr>
        <w:t>14.3 最后报价，须密封递交，仅需一份正本，签署规定同本谈判文件要求。</w:t>
      </w:r>
    </w:p>
    <w:p>
      <w:pPr>
        <w:pStyle w:val="3"/>
        <w:spacing w:before="0" w:after="0" w:line="360" w:lineRule="auto"/>
        <w:jc w:val="left"/>
        <w:rPr>
          <w:rFonts w:ascii="仿宋" w:hAnsi="仿宋" w:eastAsia="仿宋" w:cs="仿宋"/>
          <w:sz w:val="21"/>
          <w:szCs w:val="21"/>
        </w:rPr>
      </w:pPr>
      <w:bookmarkStart w:id="29" w:name="_Toc380479111"/>
      <w:r>
        <w:rPr>
          <w:rFonts w:hint="eastAsia" w:ascii="仿宋" w:hAnsi="仿宋" w:eastAsia="仿宋" w:cs="仿宋"/>
          <w:sz w:val="21"/>
          <w:szCs w:val="21"/>
        </w:rPr>
        <w:t>15．逾期提交的最后报价</w:t>
      </w:r>
      <w:bookmarkEnd w:id="29"/>
    </w:p>
    <w:p>
      <w:pPr>
        <w:spacing w:line="360" w:lineRule="auto"/>
        <w:rPr>
          <w:rFonts w:ascii="仿宋" w:hAnsi="仿宋" w:eastAsia="仿宋" w:cs="仿宋"/>
          <w:szCs w:val="21"/>
        </w:rPr>
      </w:pPr>
      <w:r>
        <w:rPr>
          <w:rFonts w:hint="eastAsia" w:ascii="仿宋" w:hAnsi="仿宋" w:eastAsia="仿宋" w:cs="仿宋"/>
          <w:szCs w:val="21"/>
        </w:rPr>
        <w:t>15.1 最后报价须在谈判小组规定的时间内送达指定地点。逾期提交最后报价的谈判供应商将被取消授予合同的资格。</w:t>
      </w:r>
    </w:p>
    <w:p>
      <w:pPr>
        <w:spacing w:line="360" w:lineRule="auto"/>
        <w:rPr>
          <w:rFonts w:ascii="仿宋" w:hAnsi="仿宋" w:eastAsia="仿宋" w:cs="仿宋"/>
          <w:b/>
          <w:szCs w:val="21"/>
        </w:rPr>
      </w:pPr>
    </w:p>
    <w:p>
      <w:pPr>
        <w:pStyle w:val="3"/>
        <w:spacing w:before="0" w:after="0" w:line="360" w:lineRule="auto"/>
        <w:rPr>
          <w:rFonts w:ascii="仿宋" w:hAnsi="仿宋" w:eastAsia="仿宋" w:cs="仿宋"/>
          <w:b w:val="0"/>
          <w:sz w:val="21"/>
          <w:szCs w:val="21"/>
        </w:rPr>
      </w:pPr>
      <w:bookmarkStart w:id="30" w:name="_Toc380479112"/>
      <w:r>
        <w:rPr>
          <w:rFonts w:hint="eastAsia" w:ascii="仿宋" w:hAnsi="仿宋" w:eastAsia="仿宋" w:cs="仿宋"/>
          <w:sz w:val="21"/>
          <w:szCs w:val="21"/>
        </w:rPr>
        <w:t>七  确定成交候选供应商</w:t>
      </w:r>
      <w:bookmarkEnd w:id="30"/>
    </w:p>
    <w:p>
      <w:pPr>
        <w:pStyle w:val="3"/>
        <w:spacing w:before="0" w:after="0" w:line="360" w:lineRule="auto"/>
        <w:jc w:val="left"/>
        <w:rPr>
          <w:rFonts w:ascii="仿宋" w:hAnsi="仿宋" w:eastAsia="仿宋" w:cs="仿宋"/>
          <w:sz w:val="21"/>
          <w:szCs w:val="21"/>
        </w:rPr>
      </w:pPr>
      <w:bookmarkStart w:id="31" w:name="_Toc380479113"/>
      <w:r>
        <w:rPr>
          <w:rFonts w:hint="eastAsia" w:ascii="仿宋" w:hAnsi="仿宋" w:eastAsia="仿宋" w:cs="仿宋"/>
          <w:sz w:val="21"/>
          <w:szCs w:val="21"/>
        </w:rPr>
        <w:t>16．确定成交候选供应商原则</w:t>
      </w:r>
      <w:bookmarkEnd w:id="31"/>
    </w:p>
    <w:p>
      <w:pPr>
        <w:spacing w:line="360" w:lineRule="auto"/>
        <w:rPr>
          <w:rFonts w:ascii="仿宋" w:hAnsi="仿宋" w:eastAsia="仿宋" w:cs="仿宋"/>
          <w:kern w:val="0"/>
          <w:szCs w:val="21"/>
        </w:rPr>
      </w:pPr>
      <w:r>
        <w:rPr>
          <w:rFonts w:hint="eastAsia" w:ascii="仿宋" w:hAnsi="仿宋" w:eastAsia="仿宋" w:cs="仿宋"/>
          <w:kern w:val="0"/>
          <w:szCs w:val="21"/>
        </w:rPr>
        <w:t>16.1 谈判小组从质量和服务均能满足采购文件实质性响应要求的供应商中，按照评分标准最后得分由高到低顺序提出成交候选供应商，推荐数量见</w:t>
      </w:r>
      <w:r>
        <w:rPr>
          <w:rFonts w:hint="eastAsia" w:ascii="仿宋" w:hAnsi="仿宋" w:eastAsia="仿宋" w:cs="仿宋"/>
          <w:kern w:val="0"/>
          <w:szCs w:val="21"/>
          <w:u w:val="single"/>
        </w:rPr>
        <w:t>前附表</w:t>
      </w:r>
      <w:r>
        <w:rPr>
          <w:rFonts w:hint="eastAsia" w:ascii="仿宋" w:hAnsi="仿宋" w:eastAsia="仿宋" w:cs="仿宋"/>
          <w:kern w:val="0"/>
          <w:szCs w:val="21"/>
        </w:rPr>
        <w:t>。被推荐为成交候选供应商的最后报价应不高于本项目采购预算控制金额。</w:t>
      </w:r>
    </w:p>
    <w:p>
      <w:pPr>
        <w:spacing w:line="360" w:lineRule="auto"/>
        <w:rPr>
          <w:rFonts w:ascii="仿宋" w:hAnsi="仿宋" w:eastAsia="仿宋" w:cs="仿宋"/>
          <w:kern w:val="0"/>
          <w:szCs w:val="21"/>
        </w:rPr>
      </w:pPr>
      <w:r>
        <w:rPr>
          <w:rFonts w:hint="eastAsia" w:ascii="仿宋" w:hAnsi="仿宋" w:eastAsia="仿宋" w:cs="仿宋"/>
          <w:kern w:val="0"/>
          <w:szCs w:val="21"/>
        </w:rPr>
        <w:t>16.2 如出现最后评分相等的情况，由谈判小组按照少数服从多数的原则投票确定最后报价相同的成交候选供应商顺序。</w:t>
      </w: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r>
        <w:rPr>
          <w:rFonts w:hint="eastAsia" w:ascii="仿宋" w:hAnsi="仿宋" w:eastAsia="仿宋" w:cs="仿宋"/>
          <w:kern w:val="0"/>
          <w:szCs w:val="21"/>
        </w:rPr>
        <w:t>16.3 评分标准</w:t>
      </w:r>
    </w:p>
    <w:tbl>
      <w:tblPr>
        <w:tblStyle w:val="43"/>
        <w:tblW w:w="9175" w:type="dxa"/>
        <w:jc w:val="right"/>
        <w:tblInd w:w="0" w:type="dxa"/>
        <w:tblLayout w:type="fixed"/>
        <w:tblCellMar>
          <w:top w:w="0" w:type="dxa"/>
          <w:left w:w="108" w:type="dxa"/>
          <w:bottom w:w="0" w:type="dxa"/>
          <w:right w:w="108" w:type="dxa"/>
        </w:tblCellMar>
      </w:tblPr>
      <w:tblGrid>
        <w:gridCol w:w="866"/>
        <w:gridCol w:w="992"/>
        <w:gridCol w:w="709"/>
        <w:gridCol w:w="5888"/>
        <w:gridCol w:w="720"/>
      </w:tblGrid>
      <w:tr>
        <w:tblPrEx>
          <w:tblLayout w:type="fixed"/>
          <w:tblCellMar>
            <w:top w:w="0" w:type="dxa"/>
            <w:left w:w="108" w:type="dxa"/>
            <w:bottom w:w="0" w:type="dxa"/>
            <w:right w:w="108" w:type="dxa"/>
          </w:tblCellMar>
        </w:tblPrEx>
        <w:trPr>
          <w:trHeight w:val="375" w:hRule="atLeast"/>
          <w:jc w:val="righ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0"/>
              </w:rPr>
            </w:pPr>
            <w:r>
              <w:rPr>
                <w:rFonts w:hint="eastAsia" w:ascii="仿宋" w:hAnsi="仿宋" w:eastAsia="仿宋" w:cs="仿宋"/>
                <w:b/>
                <w:bCs/>
                <w:kern w:val="0"/>
                <w:sz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0"/>
              </w:rPr>
            </w:pPr>
            <w:r>
              <w:rPr>
                <w:rFonts w:hint="eastAsia" w:ascii="仿宋" w:hAnsi="仿宋" w:eastAsia="仿宋" w:cs="仿宋"/>
                <w:b/>
                <w:bCs/>
                <w:kern w:val="0"/>
                <w:sz w:val="20"/>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0"/>
              </w:rPr>
            </w:pPr>
            <w:r>
              <w:rPr>
                <w:rFonts w:hint="eastAsia" w:ascii="仿宋" w:hAnsi="仿宋" w:eastAsia="仿宋" w:cs="仿宋"/>
                <w:b/>
                <w:bCs/>
                <w:kern w:val="0"/>
                <w:sz w:val="20"/>
              </w:rPr>
              <w:t>分值</w:t>
            </w:r>
          </w:p>
        </w:tc>
        <w:tc>
          <w:tcPr>
            <w:tcW w:w="5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0"/>
              </w:rPr>
            </w:pPr>
            <w:r>
              <w:rPr>
                <w:rFonts w:hint="eastAsia" w:ascii="仿宋" w:hAnsi="仿宋" w:eastAsia="仿宋" w:cs="仿宋"/>
                <w:b/>
                <w:bCs/>
                <w:kern w:val="0"/>
                <w:sz w:val="20"/>
              </w:rPr>
              <w:t>评分内容</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0"/>
              </w:rPr>
            </w:pPr>
            <w:r>
              <w:rPr>
                <w:rFonts w:hint="eastAsia" w:ascii="仿宋" w:hAnsi="仿宋" w:eastAsia="仿宋" w:cs="仿宋"/>
                <w:b/>
                <w:bCs/>
                <w:kern w:val="0"/>
                <w:sz w:val="20"/>
              </w:rPr>
              <w:t>分值</w:t>
            </w:r>
          </w:p>
        </w:tc>
      </w:tr>
      <w:tr>
        <w:tblPrEx>
          <w:tblLayout w:type="fixed"/>
          <w:tblCellMar>
            <w:top w:w="0" w:type="dxa"/>
            <w:left w:w="108" w:type="dxa"/>
            <w:bottom w:w="0" w:type="dxa"/>
            <w:right w:w="108" w:type="dxa"/>
          </w:tblCellMar>
        </w:tblPrEx>
        <w:trPr>
          <w:trHeight w:val="1162" w:hRule="atLeast"/>
          <w:jc w:val="righ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价格分</w:t>
            </w:r>
            <w:r>
              <w:rPr>
                <w:rFonts w:hint="eastAsia" w:ascii="仿宋" w:hAnsi="仿宋" w:eastAsia="仿宋" w:cs="仿宋"/>
                <w:kern w:val="0"/>
                <w:sz w:val="20"/>
              </w:rPr>
              <w:br w:type="textWrapping"/>
            </w:r>
            <w:r>
              <w:rPr>
                <w:rFonts w:hint="eastAsia" w:ascii="仿宋" w:hAnsi="仿宋" w:eastAsia="仿宋" w:cs="仿宋"/>
                <w:kern w:val="0"/>
                <w:sz w:val="20"/>
              </w:rPr>
              <w:t>（满分50分）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价格分</w:t>
            </w:r>
            <w:r>
              <w:rPr>
                <w:rFonts w:hint="eastAsia" w:ascii="仿宋" w:hAnsi="仿宋" w:eastAsia="仿宋" w:cs="仿宋"/>
                <w:kern w:val="0"/>
                <w:sz w:val="20"/>
              </w:rPr>
              <w:br w:type="textWrapping"/>
            </w:r>
            <w:r>
              <w:rPr>
                <w:rFonts w:hint="eastAsia" w:ascii="仿宋" w:hAnsi="仿宋" w:eastAsia="仿宋" w:cs="仿宋"/>
                <w:kern w:val="0"/>
                <w:sz w:val="20"/>
              </w:rPr>
              <w:t>（满分50分）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50</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F1=（评标基准价/该供应商报价）×50</w:t>
            </w:r>
          </w:p>
          <w:p>
            <w:pPr>
              <w:widowControl/>
              <w:jc w:val="left"/>
              <w:rPr>
                <w:rFonts w:ascii="仿宋" w:hAnsi="仿宋" w:eastAsia="仿宋" w:cs="仿宋"/>
                <w:kern w:val="0"/>
                <w:sz w:val="20"/>
              </w:rPr>
            </w:pPr>
            <w:r>
              <w:rPr>
                <w:rFonts w:hint="eastAsia" w:ascii="仿宋" w:hAnsi="仿宋" w:eastAsia="仿宋" w:cs="仿宋"/>
                <w:kern w:val="0"/>
                <w:sz w:val="20"/>
              </w:rPr>
              <w:t xml:space="preserve">评标基准价：满足要求的最低报价。   </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1047" w:hRule="atLeast"/>
          <w:jc w:val="right"/>
        </w:trPr>
        <w:tc>
          <w:tcPr>
            <w:tcW w:w="86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技术分</w:t>
            </w:r>
            <w:r>
              <w:rPr>
                <w:rFonts w:hint="eastAsia" w:ascii="仿宋" w:hAnsi="仿宋" w:eastAsia="仿宋" w:cs="仿宋"/>
                <w:kern w:val="0"/>
                <w:sz w:val="20"/>
              </w:rPr>
              <w:br w:type="textWrapping"/>
            </w:r>
            <w:r>
              <w:rPr>
                <w:rFonts w:hint="eastAsia" w:ascii="仿宋" w:hAnsi="仿宋" w:eastAsia="仿宋" w:cs="仿宋"/>
                <w:kern w:val="0"/>
                <w:sz w:val="20"/>
              </w:rPr>
              <w:t>（满分40分）</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技术方案评议</w:t>
            </w:r>
            <w:r>
              <w:rPr>
                <w:rFonts w:hint="eastAsia" w:ascii="仿宋" w:hAnsi="仿宋" w:eastAsia="仿宋" w:cs="仿宋"/>
                <w:kern w:val="0"/>
                <w:sz w:val="20"/>
              </w:rPr>
              <w:br w:type="textWrapping"/>
            </w:r>
            <w:r>
              <w:rPr>
                <w:rFonts w:hint="eastAsia" w:ascii="仿宋" w:hAnsi="仿宋" w:eastAsia="仿宋" w:cs="仿宋"/>
                <w:kern w:val="0"/>
                <w:sz w:val="20"/>
              </w:rPr>
              <w:t>（满分24分）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17</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技术实施方案：投标人对本项目的需求理解充分，</w:t>
            </w:r>
            <w:r>
              <w:rPr>
                <w:rFonts w:hint="eastAsia" w:ascii="仿宋" w:hAnsi="仿宋" w:eastAsia="仿宋" w:cs="仿宋"/>
                <w:b/>
                <w:kern w:val="0"/>
                <w:sz w:val="20"/>
              </w:rPr>
              <w:t>制定完整细致的项目实施方案</w:t>
            </w:r>
            <w:r>
              <w:rPr>
                <w:rFonts w:hint="eastAsia" w:ascii="仿宋" w:hAnsi="仿宋" w:eastAsia="仿宋" w:cs="仿宋"/>
                <w:kern w:val="0"/>
                <w:sz w:val="20"/>
              </w:rPr>
              <w:t>。根据方案的可行性、合理性、完整性、实施重点难点阐述的解决方案。进行横向对比。优得17-15分；良得14-10分；满足得9-0分，不提供不得分。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753"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5</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项目管理及追溯能力：投标人具有高效的项目过程管理预案和信息沟通机制，</w:t>
            </w:r>
            <w:r>
              <w:rPr>
                <w:rFonts w:hint="eastAsia" w:ascii="仿宋" w:hAnsi="仿宋" w:eastAsia="仿宋" w:cs="仿宋"/>
                <w:b/>
                <w:bCs/>
                <w:kern w:val="0"/>
                <w:sz w:val="20"/>
              </w:rPr>
              <w:t>能够实现旧址到新址点对点的扫码对应</w:t>
            </w:r>
            <w:r>
              <w:rPr>
                <w:rFonts w:hint="eastAsia" w:ascii="仿宋" w:hAnsi="仿宋" w:eastAsia="仿宋" w:cs="仿宋"/>
                <w:kern w:val="0"/>
                <w:sz w:val="20"/>
              </w:rPr>
              <w:t>，同时对过程文件（包括对仪器设备搬运状态、测试报告结果、搬运人员等动态信息的即时查询）</w:t>
            </w:r>
            <w:r>
              <w:rPr>
                <w:rFonts w:hint="eastAsia" w:ascii="仿宋" w:hAnsi="仿宋" w:eastAsia="仿宋" w:cs="仿宋"/>
                <w:b/>
                <w:bCs/>
                <w:kern w:val="0"/>
                <w:sz w:val="20"/>
              </w:rPr>
              <w:t>进行数字化管理</w:t>
            </w:r>
            <w:r>
              <w:rPr>
                <w:rFonts w:hint="eastAsia" w:ascii="仿宋" w:hAnsi="仿宋" w:eastAsia="仿宋" w:cs="仿宋"/>
                <w:kern w:val="0"/>
                <w:sz w:val="20"/>
              </w:rPr>
              <w:t>，采购人也能通过该机制及时了解项目进展，实现有效沟通。</w:t>
            </w:r>
            <w:r>
              <w:rPr>
                <w:rFonts w:hint="eastAsia" w:ascii="仿宋" w:hAnsi="仿宋" w:eastAsia="仿宋" w:cs="仿宋"/>
                <w:kern w:val="0"/>
                <w:sz w:val="20"/>
              </w:rPr>
              <w:br w:type="textWrapping"/>
            </w:r>
            <w:r>
              <w:rPr>
                <w:rFonts w:hint="eastAsia" w:ascii="仿宋" w:hAnsi="仿宋" w:eastAsia="仿宋" w:cs="仿宋"/>
                <w:kern w:val="0"/>
                <w:sz w:val="20"/>
              </w:rPr>
              <w:t>需在技术方案中详尽阐述，根据功能实现情况，优得4-5分；良得2-3分；差得0-1分，不提供不得分。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426"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2</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项目验收方案：投标人有规范化的项目实施管理办法和措施，有完善的</w:t>
            </w:r>
            <w:r>
              <w:rPr>
                <w:rFonts w:hint="eastAsia" w:ascii="仿宋" w:hAnsi="仿宋" w:eastAsia="仿宋" w:cs="仿宋"/>
                <w:b/>
                <w:bCs/>
                <w:kern w:val="0"/>
                <w:sz w:val="20"/>
              </w:rPr>
              <w:t>项目实施计划</w:t>
            </w:r>
            <w:r>
              <w:rPr>
                <w:rFonts w:hint="eastAsia" w:ascii="仿宋" w:hAnsi="仿宋" w:eastAsia="仿宋" w:cs="仿宋"/>
                <w:kern w:val="0"/>
                <w:sz w:val="20"/>
              </w:rPr>
              <w:t>，有详尽的安装、测试和验收标准。需在技术方案中详尽阐述，根据阐述情况，优得2分；良得1分；不提供不得分。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1001"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项目团队评议</w:t>
            </w:r>
            <w:r>
              <w:rPr>
                <w:rFonts w:hint="eastAsia" w:ascii="仿宋" w:hAnsi="仿宋" w:eastAsia="仿宋" w:cs="仿宋"/>
                <w:kern w:val="0"/>
                <w:sz w:val="20"/>
              </w:rPr>
              <w:br w:type="textWrapping"/>
            </w:r>
            <w:r>
              <w:rPr>
                <w:rFonts w:hint="eastAsia" w:ascii="仿宋" w:hAnsi="仿宋" w:eastAsia="仿宋" w:cs="仿宋"/>
                <w:kern w:val="0"/>
                <w:sz w:val="20"/>
              </w:rPr>
              <w:t>（满分8分）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4</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拟投入本项目的技术及管理两位负责人须具备理工科或管理学专业学历或相应职称：相应负责人达到学士或中级工程师可得1分；硕士（含博士）或高级工程师（含研究员、教授）以上可得2分，本项目最高得2分。</w:t>
            </w:r>
            <w:r>
              <w:rPr>
                <w:rFonts w:hint="eastAsia" w:ascii="仿宋" w:hAnsi="仿宋" w:eastAsia="仿宋" w:cs="仿宋"/>
                <w:kern w:val="0"/>
                <w:sz w:val="20"/>
              </w:rPr>
              <w:br w:type="textWrapping"/>
            </w:r>
            <w:r>
              <w:rPr>
                <w:rFonts w:hint="eastAsia" w:ascii="仿宋" w:hAnsi="仿宋" w:eastAsia="仿宋" w:cs="仿宋"/>
                <w:kern w:val="0"/>
                <w:sz w:val="20"/>
              </w:rPr>
              <w:t>拟投入本项目的管理团队资格与项目经验评议：参与本项目执行阶段的管理及技术负责人，根据其参与同类型项目的相关经历，根据项目规模、项目相似性、项目关联性等因素进行评议，横向比较得0-2分，本项目最高得2分。</w:t>
            </w:r>
            <w:r>
              <w:rPr>
                <w:rFonts w:hint="eastAsia" w:ascii="仿宋" w:hAnsi="仿宋" w:eastAsia="仿宋" w:cs="仿宋"/>
                <w:kern w:val="0"/>
                <w:sz w:val="20"/>
              </w:rPr>
              <w:br w:type="textWrapping"/>
            </w:r>
            <w:r>
              <w:rPr>
                <w:rFonts w:hint="eastAsia" w:ascii="仿宋" w:hAnsi="仿宋" w:eastAsia="仿宋" w:cs="仿宋"/>
                <w:kern w:val="0"/>
                <w:sz w:val="20"/>
              </w:rPr>
              <w:t>需提供以上人员近六个月中任意</w:t>
            </w:r>
            <w:r>
              <w:rPr>
                <w:rFonts w:hint="eastAsia" w:ascii="仿宋" w:hAnsi="仿宋" w:eastAsia="仿宋" w:cs="仿宋"/>
                <w:b/>
                <w:kern w:val="0"/>
                <w:sz w:val="20"/>
              </w:rPr>
              <w:t>三个月在投标单位缴纳社保的证明文件</w:t>
            </w:r>
            <w:r>
              <w:rPr>
                <w:rFonts w:hint="eastAsia" w:ascii="仿宋" w:hAnsi="仿宋" w:eastAsia="仿宋" w:cs="仿宋"/>
                <w:kern w:val="0"/>
                <w:sz w:val="20"/>
              </w:rPr>
              <w:t>及相应学历/职称证明材料予以佐证，否则不得分。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839"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2</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投入项目技术人员资质：投标人的项目执行需要由投标人自有人员完成，自有人员须提供近六个月中任意三个月有效的社保证明，并同时提供相应包含仪器维修、安装、培训等内容的工程师培训证书或资质证明。</w:t>
            </w:r>
            <w:r>
              <w:rPr>
                <w:rFonts w:hint="eastAsia" w:ascii="仿宋" w:hAnsi="仿宋" w:eastAsia="仿宋" w:cs="仿宋"/>
                <w:kern w:val="0"/>
                <w:sz w:val="20"/>
              </w:rPr>
              <w:br w:type="textWrapping"/>
            </w:r>
            <w:r>
              <w:rPr>
                <w:rFonts w:hint="eastAsia" w:ascii="仿宋" w:hAnsi="仿宋" w:eastAsia="仿宋" w:cs="仿宋"/>
                <w:kern w:val="0"/>
                <w:sz w:val="20"/>
              </w:rPr>
              <w:t>根据投标人拟投入的人员数量、能够搬迁的仪器类目及人员分工合理性等进行综合评议，横向比较得0-2分，本项目最高得2分。</w:t>
            </w:r>
            <w:r>
              <w:rPr>
                <w:rFonts w:hint="eastAsia" w:ascii="仿宋" w:hAnsi="仿宋" w:eastAsia="仿宋" w:cs="仿宋"/>
                <w:kern w:val="0"/>
                <w:sz w:val="20"/>
              </w:rPr>
              <w:br w:type="textWrapping"/>
            </w:r>
            <w:r>
              <w:rPr>
                <w:rFonts w:hint="eastAsia" w:ascii="仿宋" w:hAnsi="仿宋" w:eastAsia="仿宋" w:cs="仿宋"/>
                <w:kern w:val="0"/>
                <w:sz w:val="20"/>
              </w:rPr>
              <w:t>需提供以上人员近六个月中任意</w:t>
            </w:r>
            <w:r>
              <w:rPr>
                <w:rFonts w:hint="eastAsia" w:ascii="仿宋" w:hAnsi="仿宋" w:eastAsia="仿宋" w:cs="仿宋"/>
                <w:b/>
                <w:kern w:val="0"/>
                <w:sz w:val="20"/>
              </w:rPr>
              <w:t>三个月在投标单位缴纳社保的证明</w:t>
            </w:r>
            <w:r>
              <w:rPr>
                <w:rFonts w:hint="eastAsia" w:ascii="仿宋" w:hAnsi="仿宋" w:eastAsia="仿宋" w:cs="仿宋"/>
                <w:kern w:val="0"/>
                <w:sz w:val="20"/>
              </w:rPr>
              <w:t>文件及相应仪器的培训证书予以佐证，否则不得分。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1097"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2</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投入项目管理人员资质：投标人在本项目中所组建的项目管理团队若具有项目管理专业人员（PMP ，Project Management Professional）证书资质的，根据项目组管理专业人员的数量得分。</w:t>
            </w:r>
            <w:r>
              <w:rPr>
                <w:rFonts w:hint="eastAsia" w:ascii="仿宋" w:hAnsi="仿宋" w:eastAsia="仿宋" w:cs="仿宋"/>
                <w:kern w:val="0"/>
                <w:sz w:val="20"/>
              </w:rPr>
              <w:br w:type="textWrapping"/>
            </w:r>
            <w:r>
              <w:rPr>
                <w:rFonts w:hint="eastAsia" w:ascii="仿宋" w:hAnsi="仿宋" w:eastAsia="仿宋" w:cs="仿宋"/>
                <w:kern w:val="0"/>
                <w:sz w:val="20"/>
              </w:rPr>
              <w:t>项目管理团队中包含符合要求的PMP专业管理人员得1分；具备5名以上符合要求的PMP专业管理人员得2分。不具备资质不得分。</w:t>
            </w:r>
            <w:r>
              <w:rPr>
                <w:rFonts w:hint="eastAsia" w:ascii="仿宋" w:hAnsi="仿宋" w:eastAsia="仿宋" w:cs="仿宋"/>
                <w:kern w:val="0"/>
                <w:sz w:val="20"/>
              </w:rPr>
              <w:br w:type="textWrapping"/>
            </w:r>
            <w:r>
              <w:rPr>
                <w:rFonts w:hint="eastAsia" w:ascii="仿宋" w:hAnsi="仿宋" w:eastAsia="仿宋" w:cs="仿宋"/>
                <w:b/>
                <w:bCs/>
                <w:kern w:val="0"/>
                <w:sz w:val="20"/>
              </w:rPr>
              <w:t>需提供以上人员近六个月中任意三个月在投标单位缴纳社保的证明文件及管理证书复印件，同时提供www.pmi.org官网对证书有效性查询结果的截图予以佐证，否则不得分。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70"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物流方案评议</w:t>
            </w:r>
            <w:r>
              <w:rPr>
                <w:rFonts w:hint="eastAsia" w:ascii="仿宋" w:hAnsi="仿宋" w:eastAsia="仿宋" w:cs="仿宋"/>
                <w:kern w:val="0"/>
                <w:sz w:val="20"/>
              </w:rPr>
              <w:br w:type="textWrapping"/>
            </w:r>
            <w:r>
              <w:rPr>
                <w:rFonts w:hint="eastAsia" w:ascii="仿宋" w:hAnsi="仿宋" w:eastAsia="仿宋" w:cs="仿宋"/>
                <w:kern w:val="0"/>
                <w:sz w:val="20"/>
              </w:rPr>
              <w:t>（满分8分）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4</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项目物流方案：物流运输的综合能力、针对本项目的运输方案及投入本项目的车辆配置等进行评分。优得4分；良得2分；合格得1分；不提供不得分。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244"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4</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投标人须具备实验室专业搬运、物流运输相应配套能力。</w:t>
            </w:r>
            <w:r>
              <w:rPr>
                <w:rFonts w:hint="eastAsia" w:ascii="仿宋" w:hAnsi="仿宋" w:eastAsia="仿宋" w:cs="仿宋"/>
                <w:kern w:val="0"/>
                <w:sz w:val="20"/>
              </w:rPr>
              <w:br w:type="textWrapping"/>
            </w:r>
            <w:r>
              <w:rPr>
                <w:rFonts w:hint="eastAsia" w:ascii="仿宋" w:hAnsi="仿宋" w:eastAsia="仿宋" w:cs="仿宋"/>
                <w:kern w:val="0"/>
                <w:sz w:val="20"/>
              </w:rPr>
              <w:t>其资质</w:t>
            </w:r>
            <w:r>
              <w:rPr>
                <w:rFonts w:hint="eastAsia" w:ascii="仿宋" w:hAnsi="仿宋" w:eastAsia="仿宋" w:cs="仿宋"/>
                <w:b/>
                <w:bCs/>
                <w:kern w:val="0"/>
                <w:sz w:val="20"/>
              </w:rPr>
              <w:t>内容均需覆盖“精密仪器搬运”方视为有效资质，得2分。其它与本项目无关的认证范围不得分。</w:t>
            </w:r>
            <w:r>
              <w:rPr>
                <w:rFonts w:hint="eastAsia" w:ascii="仿宋" w:hAnsi="仿宋" w:eastAsia="仿宋" w:cs="仿宋"/>
                <w:kern w:val="0"/>
                <w:sz w:val="20"/>
              </w:rPr>
              <w:br w:type="textWrapping"/>
            </w:r>
            <w:r>
              <w:rPr>
                <w:rFonts w:hint="eastAsia" w:ascii="仿宋" w:hAnsi="仿宋" w:eastAsia="仿宋" w:cs="仿宋"/>
                <w:kern w:val="0"/>
                <w:sz w:val="20"/>
              </w:rPr>
              <w:t>投标人需提供</w:t>
            </w:r>
            <w:r>
              <w:rPr>
                <w:rFonts w:hint="eastAsia" w:ascii="仿宋" w:hAnsi="仿宋" w:eastAsia="仿宋" w:cs="仿宋"/>
                <w:b/>
                <w:bCs/>
                <w:kern w:val="0"/>
                <w:sz w:val="20"/>
              </w:rPr>
              <w:t>国家认证认可监督管理委员会网站</w:t>
            </w:r>
            <w:r>
              <w:rPr>
                <w:rFonts w:hint="eastAsia" w:ascii="仿宋" w:hAnsi="仿宋" w:eastAsia="仿宋" w:cs="仿宋"/>
                <w:kern w:val="0"/>
                <w:sz w:val="20"/>
              </w:rPr>
              <w:t>上查询的</w:t>
            </w:r>
            <w:r>
              <w:rPr>
                <w:rFonts w:hint="eastAsia" w:ascii="仿宋" w:hAnsi="仿宋" w:eastAsia="仿宋" w:cs="仿宋"/>
                <w:b/>
                <w:bCs/>
                <w:kern w:val="0"/>
                <w:sz w:val="20"/>
              </w:rPr>
              <w:t>相关信息截图</w:t>
            </w:r>
            <w:r>
              <w:rPr>
                <w:rFonts w:hint="eastAsia" w:ascii="仿宋" w:hAnsi="仿宋" w:eastAsia="仿宋" w:cs="仿宋"/>
                <w:kern w:val="0"/>
                <w:sz w:val="20"/>
              </w:rPr>
              <w:t>予以佐证</w:t>
            </w:r>
            <w:r>
              <w:rPr>
                <w:rFonts w:hint="eastAsia" w:ascii="仿宋" w:hAnsi="仿宋" w:eastAsia="仿宋" w:cs="仿宋"/>
                <w:b/>
                <w:bCs/>
                <w:kern w:val="0"/>
                <w:sz w:val="20"/>
              </w:rPr>
              <w:t>，得2分。</w:t>
            </w:r>
            <w:r>
              <w:rPr>
                <w:rFonts w:hint="eastAsia" w:ascii="仿宋" w:hAnsi="仿宋" w:eastAsia="仿宋" w:cs="仿宋"/>
                <w:kern w:val="0"/>
                <w:sz w:val="20"/>
              </w:rPr>
              <w:t>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530" w:hRule="atLeast"/>
          <w:jc w:val="right"/>
        </w:trPr>
        <w:tc>
          <w:tcPr>
            <w:tcW w:w="86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商务分</w:t>
            </w:r>
            <w:r>
              <w:rPr>
                <w:rFonts w:hint="eastAsia" w:ascii="仿宋" w:hAnsi="仿宋" w:eastAsia="仿宋" w:cs="仿宋"/>
                <w:kern w:val="0"/>
                <w:sz w:val="20"/>
              </w:rPr>
              <w:br w:type="textWrapping"/>
            </w:r>
            <w:r>
              <w:rPr>
                <w:rFonts w:hint="eastAsia" w:ascii="仿宋" w:hAnsi="仿宋" w:eastAsia="仿宋" w:cs="仿宋"/>
                <w:kern w:val="0"/>
                <w:sz w:val="20"/>
              </w:rPr>
              <w:t>（满分10分）</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投标人能力和资质（满分4分）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3</w:t>
            </w:r>
          </w:p>
        </w:tc>
        <w:tc>
          <w:tcPr>
            <w:tcW w:w="5888"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24"/>
                <w:szCs w:val="24"/>
              </w:rPr>
            </w:pPr>
            <w:r>
              <w:rPr>
                <w:rFonts w:hint="eastAsia" w:ascii="仿宋" w:hAnsi="仿宋" w:eastAsia="仿宋" w:cs="仿宋"/>
                <w:kern w:val="0"/>
                <w:sz w:val="20"/>
              </w:rPr>
              <w:t>投标人通过GB/T 19001 或 ISO9001 质量管理体系认证的，得1分；</w:t>
            </w:r>
            <w:r>
              <w:rPr>
                <w:rFonts w:hint="eastAsia" w:ascii="仿宋" w:hAnsi="仿宋" w:eastAsia="仿宋" w:cs="仿宋"/>
                <w:kern w:val="0"/>
                <w:sz w:val="20"/>
              </w:rPr>
              <w:br w:type="textWrapping"/>
            </w:r>
            <w:r>
              <w:rPr>
                <w:rFonts w:hint="eastAsia" w:ascii="仿宋" w:hAnsi="仿宋" w:eastAsia="仿宋" w:cs="仿宋"/>
                <w:kern w:val="0"/>
                <w:sz w:val="20"/>
              </w:rPr>
              <w:t>投标人通过GB/T 24001 或 ISO14001 环境管理体系认证的，得1分；</w:t>
            </w:r>
            <w:r>
              <w:rPr>
                <w:rFonts w:hint="eastAsia" w:ascii="仿宋" w:hAnsi="仿宋" w:eastAsia="仿宋" w:cs="仿宋"/>
                <w:kern w:val="0"/>
                <w:sz w:val="20"/>
              </w:rPr>
              <w:br w:type="textWrapping"/>
            </w:r>
            <w:r>
              <w:rPr>
                <w:rFonts w:hint="eastAsia" w:ascii="仿宋" w:hAnsi="仿宋" w:eastAsia="仿宋" w:cs="仿宋"/>
                <w:kern w:val="0"/>
                <w:sz w:val="20"/>
              </w:rPr>
              <w:t>投标人通过GB/T 28001 或 OHSAS18001 职业健康与安全管理体系认证的，得1分。</w:t>
            </w:r>
            <w:r>
              <w:rPr>
                <w:rFonts w:hint="eastAsia" w:ascii="仿宋" w:hAnsi="仿宋" w:eastAsia="仿宋" w:cs="仿宋"/>
                <w:kern w:val="0"/>
                <w:sz w:val="20"/>
              </w:rPr>
              <w:br w:type="textWrapping"/>
            </w:r>
            <w:r>
              <w:rPr>
                <w:rFonts w:hint="eastAsia" w:ascii="仿宋" w:hAnsi="仿宋" w:eastAsia="仿宋" w:cs="仿宋"/>
                <w:kern w:val="0"/>
                <w:sz w:val="20"/>
              </w:rPr>
              <w:t>以上认证内容均需覆盖“</w:t>
            </w:r>
            <w:r>
              <w:rPr>
                <w:rFonts w:hint="eastAsia" w:ascii="仿宋" w:hAnsi="仿宋" w:eastAsia="仿宋" w:cs="仿宋"/>
                <w:b/>
                <w:bCs/>
                <w:kern w:val="0"/>
                <w:sz w:val="20"/>
              </w:rPr>
              <w:t>实验室仪器设备的拆装搬运、维修和技术培训等”</w:t>
            </w:r>
            <w:r>
              <w:rPr>
                <w:rFonts w:hint="eastAsia" w:ascii="仿宋" w:hAnsi="仿宋" w:eastAsia="仿宋" w:cs="仿宋"/>
                <w:kern w:val="0"/>
                <w:sz w:val="20"/>
              </w:rPr>
              <w:t>与本项目相关的范围方视为有效资质，</w:t>
            </w:r>
            <w:r>
              <w:rPr>
                <w:rFonts w:hint="eastAsia" w:ascii="仿宋" w:hAnsi="仿宋" w:eastAsia="仿宋" w:cs="仿宋"/>
                <w:b/>
                <w:bCs/>
                <w:kern w:val="0"/>
                <w:sz w:val="20"/>
              </w:rPr>
              <w:t>其它与本项目无关的认证范围不得分。</w:t>
            </w:r>
            <w:r>
              <w:rPr>
                <w:rFonts w:hint="eastAsia" w:ascii="仿宋" w:hAnsi="仿宋" w:eastAsia="仿宋" w:cs="仿宋"/>
                <w:kern w:val="0"/>
                <w:sz w:val="20"/>
              </w:rPr>
              <w:br w:type="textWrapping"/>
            </w:r>
            <w:r>
              <w:rPr>
                <w:rFonts w:hint="eastAsia" w:ascii="仿宋" w:hAnsi="仿宋" w:eastAsia="仿宋" w:cs="仿宋"/>
                <w:kern w:val="0"/>
                <w:sz w:val="20"/>
              </w:rPr>
              <w:t>投标人需提供相应证书在</w:t>
            </w:r>
            <w:r>
              <w:rPr>
                <w:rFonts w:hint="eastAsia" w:ascii="仿宋" w:hAnsi="仿宋" w:eastAsia="仿宋" w:cs="仿宋"/>
                <w:b/>
                <w:bCs/>
                <w:kern w:val="0"/>
                <w:sz w:val="20"/>
              </w:rPr>
              <w:t>中国国家认证认可监督管理委员会(</w:t>
            </w:r>
            <w:r>
              <w:rPr>
                <w:rFonts w:ascii="宋体" w:hAnsi="宋体" w:cs="宋体"/>
                <w:kern w:val="0"/>
                <w:sz w:val="24"/>
                <w:szCs w:val="24"/>
              </w:rPr>
              <w:t xml:space="preserve">www.cnca.gov.cn </w:t>
            </w:r>
            <w:r>
              <w:rPr>
                <w:rFonts w:hint="eastAsia" w:ascii="仿宋" w:hAnsi="仿宋" w:eastAsia="仿宋" w:cs="仿宋"/>
                <w:b/>
                <w:bCs/>
                <w:kern w:val="0"/>
                <w:sz w:val="20"/>
              </w:rPr>
              <w:t>)</w:t>
            </w:r>
            <w:r>
              <w:rPr>
                <w:rFonts w:hint="eastAsia" w:ascii="仿宋" w:hAnsi="仿宋" w:eastAsia="仿宋" w:cs="仿宋"/>
                <w:kern w:val="0"/>
                <w:sz w:val="20"/>
              </w:rPr>
              <w:t>上查询的</w:t>
            </w:r>
            <w:r>
              <w:rPr>
                <w:rFonts w:hint="eastAsia" w:ascii="仿宋" w:hAnsi="仿宋" w:eastAsia="仿宋" w:cs="仿宋"/>
                <w:b/>
                <w:bCs/>
                <w:kern w:val="0"/>
                <w:sz w:val="20"/>
              </w:rPr>
              <w:t>相关信息截图</w:t>
            </w:r>
            <w:r>
              <w:rPr>
                <w:rFonts w:hint="eastAsia" w:ascii="仿宋" w:hAnsi="仿宋" w:eastAsia="仿宋" w:cs="仿宋"/>
                <w:kern w:val="0"/>
                <w:sz w:val="20"/>
              </w:rPr>
              <w:t>予以佐证，否则不得分。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690"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1</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投标人通过GB/T 27025或ISO/IEC 17025，符合检测和校准实验室能力的通用要求或检测和校准实验室能力认可准则的要求的，得1分。</w:t>
            </w:r>
            <w:r>
              <w:rPr>
                <w:rFonts w:hint="eastAsia" w:ascii="仿宋" w:hAnsi="仿宋" w:eastAsia="仿宋" w:cs="仿宋"/>
                <w:kern w:val="0"/>
                <w:sz w:val="20"/>
              </w:rPr>
              <w:br w:type="textWrapping"/>
            </w:r>
            <w:r>
              <w:rPr>
                <w:rFonts w:hint="eastAsia" w:ascii="仿宋" w:hAnsi="仿宋" w:eastAsia="仿宋" w:cs="仿宋"/>
                <w:kern w:val="0"/>
                <w:sz w:val="20"/>
              </w:rPr>
              <w:t>投标人需提供相应证书在</w:t>
            </w:r>
            <w:r>
              <w:rPr>
                <w:rFonts w:hint="eastAsia" w:ascii="仿宋" w:hAnsi="仿宋" w:eastAsia="仿宋" w:cs="仿宋"/>
                <w:b/>
                <w:bCs/>
                <w:kern w:val="0"/>
                <w:sz w:val="20"/>
              </w:rPr>
              <w:t>中国合格评定国家认可委员会网站</w:t>
            </w:r>
            <w:r>
              <w:rPr>
                <w:rFonts w:hint="eastAsia" w:ascii="仿宋" w:hAnsi="仿宋" w:eastAsia="仿宋" w:cs="仿宋"/>
                <w:kern w:val="0"/>
                <w:sz w:val="20"/>
              </w:rPr>
              <w:t>上查询的</w:t>
            </w:r>
            <w:r>
              <w:rPr>
                <w:rFonts w:hint="eastAsia" w:ascii="仿宋" w:hAnsi="仿宋" w:eastAsia="仿宋" w:cs="仿宋"/>
                <w:b/>
                <w:bCs/>
                <w:kern w:val="0"/>
                <w:sz w:val="20"/>
              </w:rPr>
              <w:t>相关信息截图</w:t>
            </w:r>
            <w:r>
              <w:rPr>
                <w:rFonts w:hint="eastAsia" w:ascii="仿宋" w:hAnsi="仿宋" w:eastAsia="仿宋" w:cs="仿宋"/>
                <w:kern w:val="0"/>
                <w:sz w:val="20"/>
              </w:rPr>
              <w:t>予以佐证，否则不得分。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1014"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 xml:space="preserve">同类项目（满分5分）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5</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标人自2017年（含）以来，具有同类相关项目业绩的，需提供案例合同首页、金额页、显示项目名称页和签署页复印件（加盖投标人公章），同时需提供含有网址链接的中标公告截图，并在投标文件中提供查询网址予以佐证。不满足上述条件或未提供有效证明材料的业绩将不予认可。</w:t>
            </w:r>
            <w:r>
              <w:rPr>
                <w:rFonts w:hint="eastAsia" w:ascii="仿宋" w:hAnsi="仿宋" w:eastAsia="仿宋" w:cs="仿宋"/>
                <w:kern w:val="0"/>
                <w:sz w:val="20"/>
              </w:rPr>
              <w:br w:type="textWrapping"/>
            </w:r>
            <w:r>
              <w:rPr>
                <w:rFonts w:hint="eastAsia" w:ascii="仿宋" w:hAnsi="仿宋" w:eastAsia="仿宋" w:cs="仿宋"/>
                <w:kern w:val="0"/>
                <w:sz w:val="20"/>
              </w:rPr>
              <w:t>每位投标人最多在投标文件中提供</w:t>
            </w:r>
            <w:r>
              <w:rPr>
                <w:rFonts w:ascii="仿宋" w:hAnsi="仿宋" w:eastAsia="仿宋" w:cs="仿宋"/>
                <w:kern w:val="0"/>
                <w:sz w:val="20"/>
              </w:rPr>
              <w:t>5例项目业绩（超过5份以5份计），评标委员会根据投标人所提供案例的规模、相似性、关联性等因素进行评议，横向比较，优得5分；良得3分；中得2分；合格得1分。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739" w:hRule="atLeast"/>
          <w:jc w:val="right"/>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 xml:space="preserve">信用等级（满分1分）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1</w:t>
            </w:r>
          </w:p>
        </w:tc>
        <w:tc>
          <w:tcPr>
            <w:tcW w:w="588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投标人通过税务机关评定归为A类纳税人并列入</w:t>
            </w:r>
            <w:r>
              <w:rPr>
                <w:rFonts w:hint="eastAsia" w:ascii="仿宋" w:hAnsi="仿宋" w:eastAsia="仿宋" w:cs="仿宋"/>
                <w:b/>
                <w:bCs/>
                <w:kern w:val="0"/>
                <w:sz w:val="20"/>
              </w:rPr>
              <w:t>守信红名单</w:t>
            </w:r>
            <w:r>
              <w:rPr>
                <w:rFonts w:hint="eastAsia" w:ascii="仿宋" w:hAnsi="仿宋" w:eastAsia="仿宋" w:cs="仿宋"/>
                <w:kern w:val="0"/>
                <w:sz w:val="20"/>
              </w:rPr>
              <w:t>。在</w:t>
            </w:r>
            <w:r>
              <w:rPr>
                <w:rFonts w:hint="eastAsia" w:ascii="仿宋" w:hAnsi="仿宋" w:eastAsia="仿宋" w:cs="仿宋"/>
                <w:b/>
                <w:bCs/>
                <w:kern w:val="0"/>
                <w:sz w:val="20"/>
              </w:rPr>
              <w:t>上一年度</w:t>
            </w:r>
            <w:r>
              <w:rPr>
                <w:rFonts w:hint="eastAsia" w:ascii="仿宋" w:hAnsi="仿宋" w:eastAsia="仿宋" w:cs="仿宋"/>
                <w:kern w:val="0"/>
                <w:sz w:val="20"/>
              </w:rPr>
              <w:t>列入守信红名单的，得0.5分；包含</w:t>
            </w:r>
            <w:r>
              <w:rPr>
                <w:rFonts w:hint="eastAsia" w:ascii="仿宋" w:hAnsi="仿宋" w:eastAsia="仿宋" w:cs="仿宋"/>
                <w:b/>
                <w:bCs/>
                <w:kern w:val="0"/>
                <w:sz w:val="20"/>
              </w:rPr>
              <w:t>上一年度在内连续两年</w:t>
            </w:r>
            <w:r>
              <w:rPr>
                <w:rFonts w:hint="eastAsia" w:ascii="仿宋" w:hAnsi="仿宋" w:eastAsia="仿宋" w:cs="仿宋"/>
                <w:kern w:val="0"/>
                <w:sz w:val="20"/>
              </w:rPr>
              <w:t>获得守信红名单称号的，得1分。</w:t>
            </w:r>
            <w:r>
              <w:rPr>
                <w:rFonts w:hint="eastAsia" w:ascii="仿宋" w:hAnsi="仿宋" w:eastAsia="仿宋" w:cs="仿宋"/>
                <w:kern w:val="0"/>
                <w:sz w:val="20"/>
              </w:rPr>
              <w:br w:type="textWrapping"/>
            </w:r>
            <w:r>
              <w:rPr>
                <w:rFonts w:hint="eastAsia" w:ascii="仿宋" w:hAnsi="仿宋" w:eastAsia="仿宋" w:cs="仿宋"/>
                <w:kern w:val="0"/>
                <w:sz w:val="20"/>
              </w:rPr>
              <w:t>需提供信用中国网站查询守信红名单的信息截图，否则不得分。</w:t>
            </w:r>
          </w:p>
        </w:tc>
        <w:tc>
          <w:tcPr>
            <w:tcW w:w="7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0"/>
              </w:rPr>
            </w:pPr>
            <w:r>
              <w:rPr>
                <w:rFonts w:hint="eastAsia" w:ascii="仿宋" w:hAnsi="仿宋" w:eastAsia="仿宋" w:cs="仿宋"/>
                <w:kern w:val="0"/>
                <w:sz w:val="20"/>
              </w:rPr>
              <w:t>　</w:t>
            </w:r>
          </w:p>
        </w:tc>
      </w:tr>
      <w:tr>
        <w:tblPrEx>
          <w:tblLayout w:type="fixed"/>
          <w:tblCellMar>
            <w:top w:w="0" w:type="dxa"/>
            <w:left w:w="108" w:type="dxa"/>
            <w:bottom w:w="0" w:type="dxa"/>
            <w:right w:w="108" w:type="dxa"/>
          </w:tblCellMar>
        </w:tblPrEx>
        <w:trPr>
          <w:trHeight w:val="713" w:hRule="atLeast"/>
          <w:jc w:val="righ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总计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100</w:t>
            </w:r>
          </w:p>
        </w:tc>
        <w:tc>
          <w:tcPr>
            <w:tcW w:w="66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　</w:t>
            </w:r>
          </w:p>
        </w:tc>
      </w:tr>
    </w:tbl>
    <w:p>
      <w:pPr>
        <w:spacing w:line="360" w:lineRule="auto"/>
        <w:rPr>
          <w:rFonts w:ascii="仿宋" w:hAnsi="仿宋" w:eastAsia="仿宋" w:cs="仿宋"/>
          <w:kern w:val="0"/>
          <w:szCs w:val="21"/>
        </w:rPr>
      </w:pPr>
    </w:p>
    <w:p>
      <w:pPr>
        <w:pStyle w:val="3"/>
        <w:spacing w:before="0" w:after="0" w:line="360" w:lineRule="auto"/>
        <w:jc w:val="left"/>
        <w:rPr>
          <w:rFonts w:ascii="仿宋" w:hAnsi="仿宋" w:eastAsia="仿宋" w:cs="仿宋"/>
          <w:sz w:val="21"/>
          <w:szCs w:val="21"/>
        </w:rPr>
      </w:pPr>
      <w:bookmarkStart w:id="32" w:name="_Toc380479114"/>
      <w:r>
        <w:rPr>
          <w:rFonts w:hint="eastAsia" w:ascii="仿宋" w:hAnsi="仿宋" w:eastAsia="仿宋" w:cs="仿宋"/>
          <w:sz w:val="21"/>
          <w:szCs w:val="21"/>
        </w:rPr>
        <w:t>17．政府采购政策功能的落实</w:t>
      </w:r>
      <w:bookmarkEnd w:id="32"/>
    </w:p>
    <w:p>
      <w:pPr>
        <w:spacing w:line="360" w:lineRule="auto"/>
        <w:rPr>
          <w:rFonts w:ascii="仿宋" w:hAnsi="仿宋" w:eastAsia="仿宋" w:cs="仿宋"/>
          <w:kern w:val="0"/>
          <w:szCs w:val="21"/>
        </w:rPr>
      </w:pPr>
      <w:r>
        <w:rPr>
          <w:rFonts w:hint="eastAsia" w:ascii="仿宋" w:hAnsi="仿宋" w:eastAsia="仿宋" w:cs="仿宋"/>
          <w:kern w:val="0"/>
          <w:szCs w:val="21"/>
        </w:rPr>
        <w:t>17.1根据</w:t>
      </w:r>
      <w:r>
        <w:rPr>
          <w:rFonts w:hint="eastAsia" w:ascii="仿宋" w:hAnsi="仿宋" w:eastAsia="仿宋" w:cs="仿宋"/>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Cs w:val="21"/>
        </w:rPr>
        <w:t>的规定，对满足价格扣除条件且在谈判响应文件中提交了相应的</w:t>
      </w:r>
      <w:r>
        <w:rPr>
          <w:rFonts w:hint="eastAsia" w:ascii="仿宋" w:hAnsi="仿宋" w:eastAsia="仿宋" w:cs="仿宋"/>
          <w:szCs w:val="21"/>
        </w:rPr>
        <w:t>谈判供应商企业类型声明函、制造商企业类型声明函</w:t>
      </w:r>
      <w:r>
        <w:rPr>
          <w:rFonts w:hint="eastAsia" w:ascii="仿宋" w:hAnsi="仿宋" w:eastAsia="仿宋" w:cs="仿宋"/>
          <w:kern w:val="0"/>
          <w:szCs w:val="21"/>
        </w:rPr>
        <w:t>的小型和微型企业，其谈判最后报价将按扣除后的价格参与评审，具体扣除比例见</w:t>
      </w:r>
      <w:r>
        <w:rPr>
          <w:rFonts w:hint="eastAsia" w:ascii="仿宋" w:hAnsi="仿宋" w:eastAsia="仿宋" w:cs="仿宋"/>
          <w:kern w:val="0"/>
          <w:szCs w:val="21"/>
          <w:u w:val="single"/>
        </w:rPr>
        <w:t>前附表</w:t>
      </w:r>
      <w:r>
        <w:rPr>
          <w:rFonts w:hint="eastAsia" w:ascii="仿宋" w:hAnsi="仿宋" w:eastAsia="仿宋" w:cs="仿宋"/>
          <w:kern w:val="0"/>
          <w:szCs w:val="21"/>
        </w:rPr>
        <w:t>。</w:t>
      </w:r>
    </w:p>
    <w:p>
      <w:pPr>
        <w:pStyle w:val="3"/>
        <w:spacing w:before="0" w:after="0" w:line="360" w:lineRule="auto"/>
        <w:jc w:val="left"/>
        <w:rPr>
          <w:rFonts w:ascii="仿宋" w:hAnsi="仿宋" w:eastAsia="仿宋" w:cs="仿宋"/>
          <w:sz w:val="21"/>
          <w:szCs w:val="21"/>
        </w:rPr>
      </w:pPr>
      <w:bookmarkStart w:id="33" w:name="_Toc380479115"/>
      <w:r>
        <w:rPr>
          <w:rFonts w:hint="eastAsia" w:ascii="仿宋" w:hAnsi="仿宋" w:eastAsia="仿宋" w:cs="仿宋"/>
          <w:sz w:val="21"/>
          <w:szCs w:val="21"/>
        </w:rPr>
        <w:t>18．最终评价确定</w:t>
      </w:r>
      <w:bookmarkEnd w:id="33"/>
    </w:p>
    <w:p>
      <w:pPr>
        <w:spacing w:line="360" w:lineRule="auto"/>
        <w:rPr>
          <w:rFonts w:ascii="仿宋" w:hAnsi="仿宋" w:eastAsia="仿宋" w:cs="仿宋"/>
          <w:kern w:val="0"/>
          <w:szCs w:val="21"/>
        </w:rPr>
      </w:pPr>
      <w:r>
        <w:rPr>
          <w:rFonts w:hint="eastAsia" w:ascii="仿宋" w:hAnsi="仿宋" w:eastAsia="仿宋" w:cs="仿宋"/>
          <w:kern w:val="0"/>
          <w:szCs w:val="21"/>
        </w:rPr>
        <w:t>18.1 采购人有权对推荐为成交候选供应商的供应商的资格条件及价格计算方面进行审查。</w:t>
      </w:r>
    </w:p>
    <w:p>
      <w:pPr>
        <w:spacing w:line="360" w:lineRule="auto"/>
        <w:rPr>
          <w:rFonts w:ascii="仿宋" w:hAnsi="仿宋" w:eastAsia="仿宋" w:cs="仿宋"/>
          <w:kern w:val="0"/>
          <w:szCs w:val="21"/>
        </w:rPr>
      </w:pPr>
      <w:r>
        <w:rPr>
          <w:rFonts w:hint="eastAsia" w:ascii="仿宋" w:hAnsi="仿宋" w:eastAsia="仿宋"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3"/>
        <w:spacing w:before="0" w:after="0" w:line="360" w:lineRule="auto"/>
        <w:jc w:val="left"/>
        <w:rPr>
          <w:rFonts w:ascii="仿宋" w:hAnsi="仿宋" w:eastAsia="仿宋" w:cs="仿宋"/>
          <w:sz w:val="21"/>
          <w:szCs w:val="21"/>
        </w:rPr>
      </w:pPr>
      <w:bookmarkStart w:id="34" w:name="_Toc380479116"/>
      <w:r>
        <w:rPr>
          <w:rFonts w:hint="eastAsia" w:ascii="仿宋" w:hAnsi="仿宋" w:eastAsia="仿宋" w:cs="仿宋"/>
          <w:sz w:val="21"/>
          <w:szCs w:val="21"/>
        </w:rPr>
        <w:t>19．签订合同</w:t>
      </w:r>
      <w:bookmarkEnd w:id="34"/>
    </w:p>
    <w:p>
      <w:pPr>
        <w:spacing w:line="360" w:lineRule="auto"/>
        <w:rPr>
          <w:rFonts w:ascii="仿宋" w:hAnsi="仿宋" w:eastAsia="仿宋" w:cs="仿宋"/>
          <w:szCs w:val="21"/>
        </w:rPr>
      </w:pPr>
      <w:r>
        <w:rPr>
          <w:rFonts w:hint="eastAsia" w:ascii="仿宋" w:hAnsi="仿宋" w:eastAsia="仿宋" w:cs="仿宋"/>
          <w:szCs w:val="21"/>
        </w:rPr>
        <w:t>19.1 采购方将以书面形式向成交供应商发出结果通知。</w:t>
      </w:r>
    </w:p>
    <w:p>
      <w:pPr>
        <w:spacing w:line="360" w:lineRule="auto"/>
        <w:rPr>
          <w:rFonts w:ascii="仿宋" w:hAnsi="仿宋" w:eastAsia="仿宋" w:cs="仿宋"/>
          <w:szCs w:val="21"/>
        </w:rPr>
      </w:pPr>
      <w:r>
        <w:rPr>
          <w:rFonts w:hint="eastAsia" w:ascii="仿宋" w:hAnsi="仿宋" w:eastAsia="仿宋" w:cs="仿宋"/>
          <w:szCs w:val="21"/>
        </w:rPr>
        <w:t>19.2 成交结果通知书发出后，采购人将与成交供应商签订合同。</w:t>
      </w:r>
    </w:p>
    <w:p>
      <w:pPr>
        <w:pStyle w:val="3"/>
        <w:spacing w:before="0" w:after="0" w:line="360" w:lineRule="auto"/>
        <w:jc w:val="left"/>
        <w:rPr>
          <w:rFonts w:ascii="仿宋" w:hAnsi="仿宋" w:eastAsia="仿宋" w:cs="仿宋"/>
          <w:sz w:val="21"/>
          <w:szCs w:val="21"/>
        </w:rPr>
      </w:pPr>
      <w:bookmarkStart w:id="35" w:name="_Toc380479117"/>
      <w:r>
        <w:rPr>
          <w:rFonts w:hint="eastAsia" w:ascii="仿宋" w:hAnsi="仿宋" w:eastAsia="仿宋" w:cs="仿宋"/>
          <w:sz w:val="21"/>
          <w:szCs w:val="21"/>
        </w:rPr>
        <w:t>20. 采购终止</w:t>
      </w:r>
      <w:bookmarkEnd w:id="35"/>
    </w:p>
    <w:p>
      <w:pPr>
        <w:spacing w:line="360" w:lineRule="auto"/>
        <w:rPr>
          <w:rFonts w:ascii="仿宋" w:hAnsi="仿宋" w:eastAsia="仿宋" w:cs="仿宋"/>
          <w:szCs w:val="21"/>
        </w:rPr>
      </w:pPr>
      <w:r>
        <w:rPr>
          <w:rFonts w:hint="eastAsia" w:ascii="仿宋" w:hAnsi="仿宋" w:eastAsia="仿宋" w:cs="仿宋"/>
          <w:szCs w:val="21"/>
        </w:rPr>
        <w:t>20.1 出现下列情形之一的，采购人或者招标方将终止竞争性谈判采购活动，发布项目终止公告并说明原因，重新开展采购活动：</w:t>
      </w:r>
    </w:p>
    <w:p>
      <w:pPr>
        <w:spacing w:line="360" w:lineRule="auto"/>
        <w:rPr>
          <w:rFonts w:ascii="仿宋" w:hAnsi="仿宋" w:eastAsia="仿宋" w:cs="仿宋"/>
          <w:szCs w:val="21"/>
        </w:rPr>
      </w:pPr>
      <w:r>
        <w:rPr>
          <w:rFonts w:hint="eastAsia" w:ascii="仿宋" w:hAnsi="仿宋" w:eastAsia="仿宋" w:cs="仿宋"/>
          <w:szCs w:val="21"/>
        </w:rPr>
        <w:t>（1）在采购活动中因重大变故，采购任务取消的；</w:t>
      </w:r>
    </w:p>
    <w:p>
      <w:pPr>
        <w:spacing w:line="360" w:lineRule="auto"/>
        <w:rPr>
          <w:rFonts w:ascii="仿宋" w:hAnsi="仿宋" w:eastAsia="仿宋" w:cs="仿宋"/>
          <w:szCs w:val="21"/>
        </w:rPr>
      </w:pPr>
      <w:r>
        <w:rPr>
          <w:rFonts w:hint="eastAsia" w:ascii="仿宋" w:hAnsi="仿宋" w:eastAsia="仿宋" w:cs="仿宋"/>
          <w:szCs w:val="21"/>
        </w:rPr>
        <w:t>（2） 因情况变化，不再符合规定的竞争性谈判采购方式适用情形的；</w:t>
      </w:r>
    </w:p>
    <w:p>
      <w:pPr>
        <w:spacing w:line="360" w:lineRule="auto"/>
        <w:rPr>
          <w:rFonts w:ascii="仿宋" w:hAnsi="仿宋" w:eastAsia="仿宋" w:cs="仿宋"/>
          <w:szCs w:val="21"/>
        </w:rPr>
      </w:pPr>
      <w:r>
        <w:rPr>
          <w:rFonts w:hint="eastAsia" w:ascii="仿宋" w:hAnsi="仿宋" w:eastAsia="仿宋" w:cs="仿宋"/>
          <w:szCs w:val="21"/>
        </w:rPr>
        <w:t>（3）出现影响采购公正的违法、违规行为的；</w:t>
      </w:r>
    </w:p>
    <w:p>
      <w:pPr>
        <w:spacing w:line="360" w:lineRule="auto"/>
        <w:rPr>
          <w:rFonts w:ascii="仿宋" w:hAnsi="仿宋" w:eastAsia="仿宋" w:cs="仿宋"/>
          <w:szCs w:val="21"/>
        </w:rPr>
      </w:pPr>
      <w:r>
        <w:rPr>
          <w:rFonts w:hint="eastAsia" w:ascii="仿宋" w:hAnsi="仿宋" w:eastAsia="仿宋"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仿宋" w:hAnsi="仿宋" w:eastAsia="仿宋" w:cs="仿宋"/>
          <w:szCs w:val="21"/>
        </w:rPr>
      </w:pPr>
      <w:r>
        <w:rPr>
          <w:rFonts w:hint="eastAsia" w:ascii="仿宋" w:hAnsi="仿宋" w:eastAsia="仿宋" w:cs="仿宋"/>
          <w:szCs w:val="21"/>
        </w:rPr>
        <w:t>（5）谈判小组未确认谈判文件的。</w:t>
      </w:r>
    </w:p>
    <w:p>
      <w:pPr>
        <w:spacing w:line="360" w:lineRule="auto"/>
        <w:ind w:left="435"/>
        <w:rPr>
          <w:rFonts w:ascii="仿宋" w:hAnsi="仿宋" w:eastAsia="仿宋" w:cs="仿宋"/>
          <w:szCs w:val="21"/>
        </w:rPr>
      </w:pPr>
    </w:p>
    <w:p>
      <w:pPr>
        <w:pStyle w:val="3"/>
        <w:keepNext w:val="0"/>
        <w:keepLines w:val="0"/>
        <w:spacing w:before="0" w:after="0" w:line="360" w:lineRule="auto"/>
        <w:rPr>
          <w:rFonts w:ascii="仿宋" w:hAnsi="仿宋" w:eastAsia="仿宋" w:cs="仿宋"/>
          <w:bCs/>
          <w:kern w:val="2"/>
          <w:sz w:val="30"/>
          <w:szCs w:val="30"/>
        </w:rPr>
      </w:pPr>
      <w:bookmarkStart w:id="36" w:name="_Toc380479120"/>
      <w:r>
        <w:rPr>
          <w:rFonts w:hint="eastAsia" w:ascii="仿宋" w:hAnsi="仿宋" w:eastAsia="仿宋" w:cs="仿宋"/>
          <w:bCs/>
          <w:kern w:val="2"/>
          <w:sz w:val="30"/>
          <w:szCs w:val="30"/>
        </w:rPr>
        <w:t>第三章  采购需求</w:t>
      </w:r>
      <w:bookmarkEnd w:id="36"/>
      <w:bookmarkStart w:id="37" w:name="_Toc380479121"/>
      <w:bookmarkStart w:id="38" w:name="_Toc452119193"/>
    </w:p>
    <w:p>
      <w:pPr>
        <w:pStyle w:val="4"/>
        <w:jc w:val="left"/>
        <w:rPr>
          <w:rFonts w:ascii="仿宋" w:hAnsi="仿宋" w:eastAsia="仿宋" w:cs="仿宋"/>
          <w:sz w:val="21"/>
          <w:szCs w:val="21"/>
        </w:rPr>
      </w:pPr>
      <w:r>
        <w:rPr>
          <w:rFonts w:hint="eastAsia" w:ascii="仿宋" w:hAnsi="仿宋" w:eastAsia="仿宋" w:cs="仿宋"/>
          <w:sz w:val="21"/>
          <w:szCs w:val="21"/>
        </w:rPr>
        <w:t>一、电子探针实验室改造和搬迁项目——电子探针搬迁采购需求</w:t>
      </w:r>
      <w:r>
        <w:rPr>
          <w:rFonts w:ascii="仿宋" w:hAnsi="仿宋" w:eastAsia="仿宋" w:cs="仿宋"/>
          <w:sz w:val="21"/>
          <w:szCs w:val="21"/>
        </w:rPr>
        <w:t xml:space="preserve"> </w:t>
      </w:r>
    </w:p>
    <w:p>
      <w:pPr>
        <w:spacing w:line="240" w:lineRule="auto"/>
        <w:rPr>
          <w:rFonts w:ascii="仿宋" w:hAnsi="仿宋" w:eastAsia="仿宋" w:cs="仿宋"/>
          <w:szCs w:val="21"/>
        </w:rPr>
      </w:pPr>
      <w:r>
        <w:rPr>
          <w:rFonts w:hint="eastAsia" w:ascii="仿宋" w:hAnsi="仿宋" w:eastAsia="仿宋" w:cs="仿宋"/>
          <w:szCs w:val="21"/>
        </w:rPr>
        <w:t>1、精密仪器设备整机系统的指标检测、拆装、包装、搬运、定位、技术安装调试、移机后技术指标检测；</w:t>
      </w:r>
    </w:p>
    <w:p>
      <w:pPr>
        <w:spacing w:line="240" w:lineRule="auto"/>
        <w:rPr>
          <w:rFonts w:ascii="仿宋" w:hAnsi="仿宋" w:eastAsia="仿宋" w:cs="仿宋"/>
          <w:szCs w:val="21"/>
        </w:rPr>
      </w:pPr>
      <w:r>
        <w:rPr>
          <w:rFonts w:hint="eastAsia" w:ascii="仿宋" w:hAnsi="仿宋" w:eastAsia="仿宋" w:cs="仿宋"/>
          <w:szCs w:val="21"/>
        </w:rPr>
        <w:t>2、精密仪器设备移机前进行全面检查，移机安装调试后性能技术指标不低于移机前（新的实验场地满足要求的情况下）；</w:t>
      </w:r>
    </w:p>
    <w:p>
      <w:pPr>
        <w:spacing w:line="240" w:lineRule="auto"/>
        <w:rPr>
          <w:rFonts w:ascii="仿宋" w:hAnsi="仿宋" w:eastAsia="仿宋" w:cs="仿宋"/>
          <w:szCs w:val="21"/>
        </w:rPr>
      </w:pPr>
      <w:r>
        <w:rPr>
          <w:rFonts w:hint="eastAsia" w:ascii="仿宋" w:hAnsi="仿宋" w:eastAsia="仿宋" w:cs="仿宋"/>
          <w:szCs w:val="21"/>
        </w:rPr>
        <w:t>3、资质要求：合格供应商资格条件其他要求其经营范围应包括实验设备的安装、调试及其配套服务，</w:t>
      </w:r>
    </w:p>
    <w:p>
      <w:pPr>
        <w:spacing w:line="240" w:lineRule="auto"/>
        <w:rPr>
          <w:rFonts w:ascii="仿宋" w:hAnsi="仿宋" w:eastAsia="仿宋" w:cs="仿宋"/>
          <w:szCs w:val="21"/>
        </w:rPr>
      </w:pPr>
      <w:r>
        <w:rPr>
          <w:rFonts w:hint="eastAsia" w:ascii="仿宋" w:hAnsi="仿宋" w:eastAsia="仿宋" w:cs="仿宋"/>
          <w:szCs w:val="21"/>
        </w:rPr>
        <w:t>提供相关的维修和售后服务，并且在营业执照上写明。</w:t>
      </w:r>
    </w:p>
    <w:p>
      <w:pPr>
        <w:spacing w:line="240" w:lineRule="auto"/>
        <w:rPr>
          <w:rFonts w:ascii="仿宋" w:hAnsi="仿宋" w:eastAsia="仿宋" w:cs="仿宋"/>
          <w:szCs w:val="21"/>
        </w:rPr>
      </w:pPr>
      <w:r>
        <w:rPr>
          <w:rFonts w:hint="eastAsia" w:ascii="仿宋" w:hAnsi="仿宋" w:eastAsia="仿宋" w:cs="仿宋"/>
          <w:szCs w:val="21"/>
        </w:rPr>
        <w:t>4、搬迁地址</w:t>
      </w:r>
    </w:p>
    <w:p>
      <w:pPr>
        <w:spacing w:line="240" w:lineRule="auto"/>
        <w:rPr>
          <w:rFonts w:ascii="仿宋" w:hAnsi="仿宋" w:eastAsia="仿宋" w:cs="仿宋"/>
          <w:szCs w:val="21"/>
        </w:rPr>
      </w:pPr>
      <w:r>
        <w:rPr>
          <w:rFonts w:hint="eastAsia" w:ascii="仿宋" w:hAnsi="仿宋" w:eastAsia="仿宋" w:cs="仿宋"/>
          <w:szCs w:val="21"/>
        </w:rPr>
        <w:t>迁出地址：经防灾科技学院（南区）</w:t>
      </w:r>
    </w:p>
    <w:p>
      <w:pPr>
        <w:spacing w:line="240" w:lineRule="auto"/>
        <w:rPr>
          <w:rFonts w:ascii="仿宋" w:hAnsi="仿宋" w:eastAsia="仿宋" w:cs="仿宋"/>
          <w:szCs w:val="21"/>
        </w:rPr>
      </w:pPr>
      <w:r>
        <w:rPr>
          <w:rFonts w:hint="eastAsia" w:ascii="仿宋" w:hAnsi="仿宋" w:eastAsia="仿宋" w:cs="仿宋"/>
          <w:szCs w:val="21"/>
        </w:rPr>
        <w:t>迁入地址：防灾科技学院北区长庚楼</w:t>
      </w:r>
    </w:p>
    <w:p>
      <w:pPr>
        <w:spacing w:line="240" w:lineRule="auto"/>
        <w:rPr>
          <w:rFonts w:ascii="仿宋" w:hAnsi="仿宋" w:eastAsia="仿宋" w:cs="仿宋"/>
          <w:szCs w:val="21"/>
        </w:rPr>
      </w:pPr>
      <w:r>
        <w:rPr>
          <w:rFonts w:hint="eastAsia" w:ascii="仿宋" w:hAnsi="仿宋" w:eastAsia="仿宋" w:cs="仿宋"/>
          <w:szCs w:val="21"/>
        </w:rPr>
        <w:t>5、项目执行时间：2019年6月，物理搬运工期15天。</w:t>
      </w:r>
    </w:p>
    <w:p>
      <w:pPr>
        <w:spacing w:line="240" w:lineRule="auto"/>
        <w:rPr>
          <w:rFonts w:ascii="仿宋" w:hAnsi="仿宋" w:eastAsia="仿宋" w:cs="仿宋"/>
          <w:szCs w:val="21"/>
        </w:rPr>
      </w:pPr>
      <w:r>
        <w:rPr>
          <w:rFonts w:hint="eastAsia" w:ascii="仿宋" w:hAnsi="仿宋" w:eastAsia="仿宋" w:cs="仿宋"/>
          <w:szCs w:val="21"/>
        </w:rPr>
        <w:t>6、搬迁需求：</w:t>
      </w:r>
    </w:p>
    <w:p>
      <w:pPr>
        <w:spacing w:line="240" w:lineRule="auto"/>
        <w:rPr>
          <w:rFonts w:ascii="仿宋" w:hAnsi="仿宋" w:eastAsia="仿宋" w:cs="仿宋"/>
          <w:szCs w:val="21"/>
        </w:rPr>
      </w:pPr>
      <w:r>
        <w:rPr>
          <w:rFonts w:hint="eastAsia" w:ascii="仿宋" w:hAnsi="仿宋" w:eastAsia="仿宋" w:cs="仿宋"/>
          <w:szCs w:val="21"/>
        </w:rPr>
        <w:t>6.1移机前资产盘点、仪器搬迁前性能测试</w:t>
      </w:r>
    </w:p>
    <w:p>
      <w:pPr>
        <w:spacing w:line="240" w:lineRule="auto"/>
        <w:rPr>
          <w:rFonts w:ascii="仿宋" w:hAnsi="仿宋" w:eastAsia="仿宋" w:cs="仿宋"/>
          <w:szCs w:val="21"/>
        </w:rPr>
      </w:pPr>
      <w:r>
        <w:rPr>
          <w:rFonts w:hint="eastAsia" w:ascii="仿宋" w:hAnsi="仿宋" w:eastAsia="仿宋" w:cs="仿宋"/>
          <w:szCs w:val="21"/>
        </w:rPr>
        <w:t>1）、资产盘点，搬迁前后应对整体仪器及附件物资进行盘点，实现旧址到新址的物资对应，资产盘点要清晰，不能缺少物资，需提供过程文件，包括对仪器设备搬运状态、测试报告结果、搬运人员等信息，做到可追溯，实现有效沟通。</w:t>
      </w:r>
    </w:p>
    <w:p>
      <w:pPr>
        <w:spacing w:line="240" w:lineRule="auto"/>
        <w:rPr>
          <w:rFonts w:ascii="仿宋" w:hAnsi="仿宋" w:eastAsia="仿宋" w:cs="仿宋"/>
          <w:szCs w:val="21"/>
        </w:rPr>
      </w:pPr>
      <w:r>
        <w:rPr>
          <w:rFonts w:hint="eastAsia" w:ascii="仿宋" w:hAnsi="仿宋" w:eastAsia="仿宋" w:cs="仿宋"/>
          <w:szCs w:val="21"/>
        </w:rPr>
        <w:t>2）、在搬迁前针对所有仪器设备，由专业工程师进行搬迁前检测和状态确认，并在得到仪器负责人的确认后开始拆卸包装和运输等搬迁工作。</w:t>
      </w:r>
    </w:p>
    <w:p>
      <w:pPr>
        <w:spacing w:line="240" w:lineRule="auto"/>
        <w:rPr>
          <w:rFonts w:ascii="仿宋" w:hAnsi="仿宋" w:eastAsia="仿宋" w:cs="仿宋"/>
          <w:szCs w:val="21"/>
        </w:rPr>
      </w:pPr>
      <w:r>
        <w:rPr>
          <w:rFonts w:hint="eastAsia" w:ascii="仿宋" w:hAnsi="仿宋" w:eastAsia="仿宋" w:cs="仿宋"/>
          <w:szCs w:val="21"/>
        </w:rPr>
        <w:t>3）、针对小型精密仪器的搬迁前状态确认，现场专业工程师将根据仪器情况，将具体的仪器信息和测试内容填入该表，并在测试完成之后用户进行签字确认。</w:t>
      </w:r>
    </w:p>
    <w:p>
      <w:pPr>
        <w:spacing w:line="240" w:lineRule="auto"/>
        <w:rPr>
          <w:rFonts w:ascii="仿宋" w:hAnsi="仿宋" w:eastAsia="仿宋" w:cs="仿宋"/>
          <w:szCs w:val="21"/>
        </w:rPr>
      </w:pPr>
      <w:r>
        <w:rPr>
          <w:rFonts w:hint="eastAsia" w:ascii="仿宋" w:hAnsi="仿宋" w:eastAsia="仿宋" w:cs="仿宋"/>
          <w:szCs w:val="21"/>
        </w:rPr>
        <w:t>4）、 针对大型精密仪器，对每一种类型的大型精密仪器都具有专业的测试步骤和模板。</w:t>
      </w:r>
    </w:p>
    <w:p>
      <w:pPr>
        <w:spacing w:line="240" w:lineRule="auto"/>
        <w:rPr>
          <w:rFonts w:ascii="仿宋" w:hAnsi="仿宋" w:eastAsia="仿宋" w:cs="仿宋"/>
          <w:szCs w:val="21"/>
        </w:rPr>
      </w:pPr>
      <w:r>
        <w:rPr>
          <w:rFonts w:hint="eastAsia" w:ascii="仿宋" w:hAnsi="仿宋" w:eastAsia="仿宋" w:cs="仿宋"/>
          <w:szCs w:val="21"/>
        </w:rPr>
        <w:t>5）、服务方提供仪器测试过程中所需标物。</w:t>
      </w:r>
    </w:p>
    <w:p>
      <w:pPr>
        <w:spacing w:line="240" w:lineRule="auto"/>
        <w:rPr>
          <w:rFonts w:ascii="仿宋" w:hAnsi="仿宋" w:eastAsia="仿宋" w:cs="仿宋"/>
          <w:szCs w:val="21"/>
        </w:rPr>
      </w:pPr>
      <w:r>
        <w:rPr>
          <w:rFonts w:hint="eastAsia" w:ascii="仿宋" w:hAnsi="仿宋" w:eastAsia="仿宋" w:cs="仿宋"/>
          <w:szCs w:val="21"/>
        </w:rPr>
        <w:t>6）、服务方将在新址实验室装修完成后，实验室环境进行评价，确保迁进实验室状况达到仪器使用标准，并对不达标情况提供整改建议书。</w:t>
      </w:r>
    </w:p>
    <w:p>
      <w:pPr>
        <w:spacing w:line="240" w:lineRule="auto"/>
        <w:rPr>
          <w:rFonts w:ascii="仿宋" w:hAnsi="仿宋" w:eastAsia="仿宋" w:cs="仿宋"/>
          <w:szCs w:val="21"/>
        </w:rPr>
      </w:pPr>
      <w:r>
        <w:rPr>
          <w:rFonts w:hint="eastAsia" w:ascii="仿宋" w:hAnsi="仿宋" w:eastAsia="仿宋" w:cs="仿宋"/>
          <w:szCs w:val="21"/>
        </w:rPr>
        <w:t>7）、根据整体搬迁仪器种类，不同产品线的仪器技术工程师将仪器设备，尤其是所有的高值精密仪器设备的安装条件汇总，比如水、电、气、排风等，并形成汇总表。</w:t>
      </w:r>
    </w:p>
    <w:p>
      <w:pPr>
        <w:spacing w:line="240" w:lineRule="auto"/>
        <w:rPr>
          <w:rFonts w:ascii="仿宋" w:hAnsi="仿宋" w:eastAsia="仿宋" w:cs="仿宋"/>
          <w:szCs w:val="21"/>
        </w:rPr>
      </w:pPr>
      <w:r>
        <w:rPr>
          <w:rFonts w:hint="eastAsia" w:ascii="仿宋" w:hAnsi="仿宋" w:eastAsia="仿宋" w:cs="仿宋"/>
          <w:szCs w:val="21"/>
        </w:rPr>
        <w:t>6.2仪器拆解服务</w:t>
      </w:r>
    </w:p>
    <w:p>
      <w:pPr>
        <w:spacing w:line="240" w:lineRule="auto"/>
        <w:rPr>
          <w:rFonts w:ascii="仿宋" w:hAnsi="仿宋" w:eastAsia="仿宋" w:cs="仿宋"/>
          <w:szCs w:val="21"/>
        </w:rPr>
      </w:pPr>
      <w:r>
        <w:rPr>
          <w:rFonts w:hint="eastAsia" w:ascii="仿宋" w:hAnsi="仿宋" w:eastAsia="仿宋" w:cs="仿宋"/>
          <w:szCs w:val="21"/>
        </w:rPr>
        <w:t xml:space="preserve">    仪器状态确认完成并签字确认后将对仪器进行拆机（包括断开连接、模块拆卸）。仪器的拆装工作都将由专业的工程师来完成，在整个拆机过程中将根据仪器分类按照不同的注意事项和要求对所有仪器进行拆机，过程中包含对仪器除尘等清洁工作，如在拆解过程中出现损坏由服务方负责，并同时对所有模块、组件、配件等内容进行清晰标记和拍照处理；根据以上对仪器的分类，对于各类不同的仪器都有不同的需要准备和注意的事项。</w:t>
      </w:r>
    </w:p>
    <w:p>
      <w:pPr>
        <w:spacing w:line="240" w:lineRule="auto"/>
        <w:rPr>
          <w:rFonts w:ascii="仿宋" w:hAnsi="仿宋" w:eastAsia="仿宋" w:cs="仿宋"/>
          <w:szCs w:val="21"/>
        </w:rPr>
      </w:pPr>
      <w:r>
        <w:rPr>
          <w:rFonts w:hint="eastAsia" w:ascii="仿宋" w:hAnsi="仿宋" w:eastAsia="仿宋" w:cs="仿宋"/>
          <w:szCs w:val="21"/>
        </w:rPr>
        <w:t>- 多品牌专业服务工程师</w:t>
      </w:r>
    </w:p>
    <w:p>
      <w:pPr>
        <w:spacing w:line="240" w:lineRule="auto"/>
        <w:rPr>
          <w:rFonts w:ascii="仿宋" w:hAnsi="仿宋" w:eastAsia="仿宋" w:cs="仿宋"/>
          <w:szCs w:val="21"/>
        </w:rPr>
      </w:pPr>
      <w:r>
        <w:rPr>
          <w:rFonts w:hint="eastAsia" w:ascii="仿宋" w:hAnsi="仿宋" w:eastAsia="仿宋" w:cs="仿宋"/>
          <w:szCs w:val="21"/>
        </w:rPr>
        <w:t>- 确保仪器按照原厂标准拆机</w:t>
      </w:r>
    </w:p>
    <w:p>
      <w:pPr>
        <w:spacing w:line="240" w:lineRule="auto"/>
        <w:rPr>
          <w:rFonts w:ascii="仿宋" w:hAnsi="仿宋" w:eastAsia="仿宋" w:cs="仿宋"/>
          <w:szCs w:val="21"/>
        </w:rPr>
      </w:pPr>
      <w:r>
        <w:rPr>
          <w:rFonts w:hint="eastAsia" w:ascii="仿宋" w:hAnsi="仿宋" w:eastAsia="仿宋" w:cs="仿宋"/>
          <w:szCs w:val="21"/>
        </w:rPr>
        <w:t>- 协调有毒有害材料的处理及仪器的清洁除尘工作</w:t>
      </w:r>
    </w:p>
    <w:p>
      <w:pPr>
        <w:spacing w:line="240" w:lineRule="auto"/>
        <w:rPr>
          <w:rFonts w:ascii="仿宋" w:hAnsi="仿宋" w:eastAsia="仿宋" w:cs="仿宋"/>
          <w:szCs w:val="21"/>
        </w:rPr>
      </w:pPr>
      <w:r>
        <w:rPr>
          <w:rFonts w:hint="eastAsia" w:ascii="仿宋" w:hAnsi="仿宋" w:eastAsia="仿宋" w:cs="仿宋"/>
          <w:szCs w:val="21"/>
        </w:rPr>
        <w:t>6.3专业包装</w:t>
      </w:r>
    </w:p>
    <w:p>
      <w:pPr>
        <w:spacing w:line="240" w:lineRule="auto"/>
        <w:rPr>
          <w:rFonts w:ascii="仿宋" w:hAnsi="仿宋" w:eastAsia="仿宋" w:cs="仿宋"/>
          <w:szCs w:val="21"/>
        </w:rPr>
      </w:pPr>
      <w:r>
        <w:rPr>
          <w:rFonts w:hint="eastAsia" w:ascii="仿宋" w:hAnsi="仿宋" w:eastAsia="仿宋" w:cs="仿宋"/>
          <w:szCs w:val="21"/>
        </w:rPr>
        <w:t xml:space="preserve">    提供如下的物流计划，根据以上对仪器的分类，对于各类不同的仪器都有不同的需要准备和注意的事项如下。</w:t>
      </w:r>
    </w:p>
    <w:p>
      <w:pPr>
        <w:spacing w:line="240" w:lineRule="auto"/>
        <w:rPr>
          <w:rFonts w:ascii="仿宋" w:hAnsi="仿宋" w:eastAsia="仿宋" w:cs="仿宋"/>
          <w:szCs w:val="21"/>
        </w:rPr>
      </w:pPr>
      <w:r>
        <w:rPr>
          <w:rFonts w:hint="eastAsia" w:ascii="仿宋" w:hAnsi="仿宋" w:eastAsia="仿宋" w:cs="仿宋"/>
          <w:szCs w:val="21"/>
        </w:rPr>
        <w:t>1) 一类包装</w:t>
      </w:r>
    </w:p>
    <w:p>
      <w:pPr>
        <w:spacing w:line="240" w:lineRule="auto"/>
        <w:rPr>
          <w:rFonts w:ascii="仿宋" w:hAnsi="仿宋" w:eastAsia="仿宋" w:cs="仿宋"/>
          <w:szCs w:val="21"/>
        </w:rPr>
      </w:pPr>
      <w:r>
        <w:rPr>
          <w:rFonts w:hint="eastAsia" w:ascii="仿宋" w:hAnsi="仿宋" w:eastAsia="仿宋" w:cs="仿宋"/>
          <w:szCs w:val="21"/>
        </w:rPr>
        <w:t>- 根据设备尺寸大小，选择合适纸板箱</w:t>
      </w:r>
    </w:p>
    <w:p>
      <w:pPr>
        <w:spacing w:line="240" w:lineRule="auto"/>
        <w:rPr>
          <w:rFonts w:ascii="仿宋" w:hAnsi="仿宋" w:eastAsia="仿宋" w:cs="仿宋"/>
          <w:szCs w:val="21"/>
        </w:rPr>
      </w:pPr>
      <w:r>
        <w:rPr>
          <w:rFonts w:hint="eastAsia" w:ascii="仿宋" w:hAnsi="仿宋" w:eastAsia="仿宋" w:cs="仿宋"/>
          <w:szCs w:val="21"/>
        </w:rPr>
        <w:t>- 用2层缠绕膜对设备进行保护</w:t>
      </w:r>
    </w:p>
    <w:p>
      <w:pPr>
        <w:spacing w:line="240" w:lineRule="auto"/>
        <w:rPr>
          <w:rFonts w:ascii="仿宋" w:hAnsi="仿宋" w:eastAsia="仿宋" w:cs="仿宋"/>
          <w:szCs w:val="21"/>
        </w:rPr>
      </w:pPr>
      <w:r>
        <w:rPr>
          <w:rFonts w:hint="eastAsia" w:ascii="仿宋" w:hAnsi="仿宋" w:eastAsia="仿宋" w:cs="仿宋"/>
          <w:szCs w:val="21"/>
        </w:rPr>
        <w:t>- 用气垫膜包覆设备，并用胶带固定</w:t>
      </w:r>
    </w:p>
    <w:p>
      <w:pPr>
        <w:spacing w:line="240" w:lineRule="auto"/>
        <w:rPr>
          <w:rFonts w:ascii="仿宋" w:hAnsi="仿宋" w:eastAsia="仿宋" w:cs="仿宋"/>
          <w:szCs w:val="21"/>
        </w:rPr>
      </w:pPr>
      <w:r>
        <w:rPr>
          <w:rFonts w:hint="eastAsia" w:ascii="仿宋" w:hAnsi="仿宋" w:eastAsia="仿宋" w:cs="仿宋"/>
          <w:szCs w:val="21"/>
        </w:rPr>
        <w:t>- 放入纸箱，用泡沫、塑绵进行填充</w:t>
      </w:r>
    </w:p>
    <w:p>
      <w:pPr>
        <w:spacing w:line="240" w:lineRule="auto"/>
        <w:rPr>
          <w:rFonts w:ascii="仿宋" w:hAnsi="仿宋" w:eastAsia="仿宋" w:cs="仿宋"/>
          <w:szCs w:val="21"/>
        </w:rPr>
      </w:pPr>
      <w:r>
        <w:rPr>
          <w:rFonts w:hint="eastAsia" w:ascii="仿宋" w:hAnsi="仿宋" w:eastAsia="仿宋" w:cs="仿宋"/>
          <w:szCs w:val="21"/>
        </w:rPr>
        <w:t>2) 二类包装</w:t>
      </w:r>
    </w:p>
    <w:p>
      <w:pPr>
        <w:spacing w:line="240" w:lineRule="auto"/>
        <w:rPr>
          <w:rFonts w:ascii="仿宋" w:hAnsi="仿宋" w:eastAsia="仿宋" w:cs="仿宋"/>
          <w:szCs w:val="21"/>
        </w:rPr>
      </w:pPr>
      <w:r>
        <w:rPr>
          <w:rFonts w:hint="eastAsia" w:ascii="仿宋" w:hAnsi="仿宋" w:eastAsia="仿宋" w:cs="仿宋"/>
          <w:szCs w:val="21"/>
        </w:rPr>
        <w:t>- 托盘尺寸视设备尺寸及作业现场通道宽窄而定；</w:t>
      </w:r>
    </w:p>
    <w:p>
      <w:pPr>
        <w:spacing w:line="240" w:lineRule="auto"/>
        <w:rPr>
          <w:rFonts w:ascii="仿宋" w:hAnsi="仿宋" w:eastAsia="仿宋" w:cs="仿宋"/>
          <w:szCs w:val="21"/>
        </w:rPr>
      </w:pPr>
      <w:r>
        <w:rPr>
          <w:rFonts w:hint="eastAsia" w:ascii="仿宋" w:hAnsi="仿宋" w:eastAsia="仿宋" w:cs="仿宋"/>
          <w:szCs w:val="21"/>
        </w:rPr>
        <w:t>- 托盘上铺设1张厚度为4公分的EPE珍珠棉用于防震；</w:t>
      </w:r>
    </w:p>
    <w:p>
      <w:pPr>
        <w:spacing w:line="240" w:lineRule="auto"/>
        <w:rPr>
          <w:rFonts w:ascii="仿宋" w:hAnsi="仿宋" w:eastAsia="仿宋" w:cs="仿宋"/>
          <w:szCs w:val="21"/>
        </w:rPr>
      </w:pPr>
      <w:r>
        <w:rPr>
          <w:rFonts w:hint="eastAsia" w:ascii="仿宋" w:hAnsi="仿宋" w:eastAsia="仿宋" w:cs="仿宋"/>
          <w:szCs w:val="21"/>
        </w:rPr>
        <w:t>- EPE珍珠棉上加覆1张厚度为2公分的木板；</w:t>
      </w:r>
    </w:p>
    <w:p>
      <w:pPr>
        <w:spacing w:line="240" w:lineRule="auto"/>
        <w:rPr>
          <w:rFonts w:ascii="仿宋" w:hAnsi="仿宋" w:eastAsia="仿宋" w:cs="仿宋"/>
          <w:szCs w:val="21"/>
        </w:rPr>
      </w:pPr>
      <w:r>
        <w:rPr>
          <w:rFonts w:hint="eastAsia" w:ascii="仿宋" w:hAnsi="仿宋" w:eastAsia="仿宋" w:cs="仿宋"/>
          <w:szCs w:val="21"/>
        </w:rPr>
        <w:t>- 用2层缠绕膜对设备进行保护；</w:t>
      </w:r>
    </w:p>
    <w:p>
      <w:pPr>
        <w:spacing w:line="240" w:lineRule="auto"/>
        <w:rPr>
          <w:rFonts w:ascii="仿宋" w:hAnsi="仿宋" w:eastAsia="仿宋" w:cs="仿宋"/>
          <w:szCs w:val="21"/>
        </w:rPr>
      </w:pPr>
      <w:r>
        <w:rPr>
          <w:rFonts w:hint="eastAsia" w:ascii="仿宋" w:hAnsi="仿宋" w:eastAsia="仿宋" w:cs="仿宋"/>
          <w:szCs w:val="21"/>
        </w:rPr>
        <w:t>- 用3层气垫膜包覆在设备外面，并用胶带固定；</w:t>
      </w:r>
    </w:p>
    <w:p>
      <w:pPr>
        <w:spacing w:line="240" w:lineRule="auto"/>
        <w:rPr>
          <w:rFonts w:ascii="仿宋" w:hAnsi="仿宋" w:eastAsia="仿宋" w:cs="仿宋"/>
          <w:szCs w:val="21"/>
        </w:rPr>
      </w:pPr>
      <w:r>
        <w:rPr>
          <w:rFonts w:hint="eastAsia" w:ascii="仿宋" w:hAnsi="仿宋" w:eastAsia="仿宋" w:cs="仿宋"/>
          <w:szCs w:val="21"/>
        </w:rPr>
        <w:t>- 使用两根尼龙绑带（宽度为10公分）将设备固定在减震托盘上：</w:t>
      </w:r>
    </w:p>
    <w:p>
      <w:pPr>
        <w:spacing w:line="240" w:lineRule="auto"/>
        <w:rPr>
          <w:rFonts w:ascii="仿宋" w:hAnsi="仿宋" w:eastAsia="仿宋" w:cs="仿宋"/>
          <w:szCs w:val="21"/>
        </w:rPr>
      </w:pPr>
      <w:r>
        <w:rPr>
          <w:rFonts w:hint="eastAsia" w:ascii="仿宋" w:hAnsi="仿宋" w:eastAsia="仿宋" w:cs="仿宋"/>
          <w:szCs w:val="21"/>
        </w:rPr>
        <w:t>- 用4层缠绕膜将设备和减震托盘固定为整体。</w:t>
      </w:r>
    </w:p>
    <w:p>
      <w:pPr>
        <w:spacing w:line="240" w:lineRule="auto"/>
        <w:rPr>
          <w:rFonts w:ascii="仿宋" w:hAnsi="仿宋" w:eastAsia="仿宋" w:cs="仿宋"/>
          <w:szCs w:val="21"/>
        </w:rPr>
      </w:pPr>
      <w:r>
        <w:rPr>
          <w:rFonts w:hint="eastAsia" w:ascii="仿宋" w:hAnsi="仿宋" w:eastAsia="仿宋" w:cs="仿宋"/>
          <w:szCs w:val="21"/>
        </w:rPr>
        <w:t>3) 三类包装</w:t>
      </w:r>
    </w:p>
    <w:p>
      <w:pPr>
        <w:spacing w:line="240" w:lineRule="auto"/>
        <w:rPr>
          <w:rFonts w:ascii="仿宋" w:hAnsi="仿宋" w:eastAsia="仿宋" w:cs="仿宋"/>
          <w:szCs w:val="21"/>
        </w:rPr>
      </w:pPr>
      <w:r>
        <w:rPr>
          <w:rFonts w:hint="eastAsia" w:ascii="仿宋" w:hAnsi="仿宋" w:eastAsia="仿宋" w:cs="仿宋"/>
          <w:szCs w:val="21"/>
        </w:rPr>
        <w:t>- 使用2层缠绕膜对仪器进行全面包裹；</w:t>
      </w:r>
    </w:p>
    <w:p>
      <w:pPr>
        <w:spacing w:line="240" w:lineRule="auto"/>
        <w:rPr>
          <w:rFonts w:ascii="仿宋" w:hAnsi="仿宋" w:eastAsia="仿宋" w:cs="仿宋"/>
          <w:szCs w:val="21"/>
        </w:rPr>
      </w:pPr>
      <w:r>
        <w:rPr>
          <w:rFonts w:hint="eastAsia" w:ascii="仿宋" w:hAnsi="仿宋" w:eastAsia="仿宋" w:cs="仿宋"/>
          <w:szCs w:val="21"/>
        </w:rPr>
        <w:t>- 使用3层气垫膜在缠绕膜外部进行防震保护；</w:t>
      </w:r>
    </w:p>
    <w:p>
      <w:pPr>
        <w:spacing w:line="240" w:lineRule="auto"/>
        <w:rPr>
          <w:rFonts w:ascii="仿宋" w:hAnsi="仿宋" w:eastAsia="仿宋" w:cs="仿宋"/>
          <w:szCs w:val="21"/>
        </w:rPr>
      </w:pPr>
      <w:r>
        <w:rPr>
          <w:rFonts w:hint="eastAsia" w:ascii="仿宋" w:hAnsi="仿宋" w:eastAsia="仿宋" w:cs="仿宋"/>
          <w:szCs w:val="21"/>
        </w:rPr>
        <w:t>- 用纸板覆盖在缠绕膜外面，并用胶带固定；</w:t>
      </w:r>
    </w:p>
    <w:p>
      <w:pPr>
        <w:spacing w:line="240" w:lineRule="auto"/>
        <w:rPr>
          <w:rFonts w:ascii="仿宋" w:hAnsi="仿宋" w:eastAsia="仿宋" w:cs="仿宋"/>
          <w:szCs w:val="21"/>
        </w:rPr>
      </w:pPr>
      <w:r>
        <w:rPr>
          <w:rFonts w:hint="eastAsia" w:ascii="仿宋" w:hAnsi="仿宋" w:eastAsia="仿宋" w:cs="仿宋"/>
          <w:szCs w:val="21"/>
        </w:rPr>
        <w:t>- 仪器边角用机柜专用角条进行保护，防止撞击；</w:t>
      </w:r>
    </w:p>
    <w:p>
      <w:pPr>
        <w:spacing w:line="240" w:lineRule="auto"/>
        <w:rPr>
          <w:rFonts w:ascii="仿宋" w:hAnsi="仿宋" w:eastAsia="仿宋" w:cs="仿宋"/>
          <w:szCs w:val="21"/>
        </w:rPr>
      </w:pPr>
      <w:r>
        <w:rPr>
          <w:rFonts w:hint="eastAsia" w:ascii="仿宋" w:hAnsi="仿宋" w:eastAsia="仿宋" w:cs="仿宋"/>
          <w:szCs w:val="21"/>
        </w:rPr>
        <w:t>- 将设备安置于木托盘，底脚固定；</w:t>
      </w:r>
    </w:p>
    <w:p>
      <w:pPr>
        <w:spacing w:line="240" w:lineRule="auto"/>
        <w:rPr>
          <w:rFonts w:ascii="仿宋" w:hAnsi="仿宋" w:eastAsia="仿宋" w:cs="仿宋"/>
          <w:szCs w:val="21"/>
        </w:rPr>
      </w:pPr>
      <w:r>
        <w:rPr>
          <w:rFonts w:hint="eastAsia" w:ascii="仿宋" w:hAnsi="仿宋" w:eastAsia="仿宋" w:cs="仿宋"/>
          <w:szCs w:val="21"/>
        </w:rPr>
        <w:t>- 盖上箱体木板，空隙处用珍珠棉填充；</w:t>
      </w:r>
    </w:p>
    <w:p>
      <w:pPr>
        <w:spacing w:line="240" w:lineRule="auto"/>
        <w:rPr>
          <w:rFonts w:ascii="仿宋" w:hAnsi="仿宋" w:eastAsia="仿宋" w:cs="仿宋"/>
          <w:szCs w:val="21"/>
        </w:rPr>
      </w:pPr>
      <w:r>
        <w:rPr>
          <w:rFonts w:hint="eastAsia" w:ascii="仿宋" w:hAnsi="仿宋" w:eastAsia="仿宋" w:cs="仿宋"/>
          <w:szCs w:val="21"/>
        </w:rPr>
        <w:t>- 装上木板后，用10公分锁绑带进行十字交叉。</w:t>
      </w:r>
    </w:p>
    <w:p>
      <w:pPr>
        <w:spacing w:line="240" w:lineRule="auto"/>
        <w:rPr>
          <w:rFonts w:ascii="仿宋" w:hAnsi="仿宋" w:eastAsia="仿宋" w:cs="仿宋"/>
          <w:szCs w:val="21"/>
        </w:rPr>
      </w:pPr>
      <w:r>
        <w:rPr>
          <w:rFonts w:hint="eastAsia" w:ascii="仿宋" w:hAnsi="仿宋" w:eastAsia="仿宋" w:cs="仿宋"/>
          <w:szCs w:val="21"/>
        </w:rPr>
        <w:t>6.4专业运输就位</w:t>
      </w:r>
    </w:p>
    <w:p>
      <w:pPr>
        <w:spacing w:line="240" w:lineRule="auto"/>
        <w:rPr>
          <w:rFonts w:ascii="仿宋" w:hAnsi="仿宋" w:eastAsia="仿宋" w:cs="仿宋"/>
          <w:szCs w:val="21"/>
        </w:rPr>
      </w:pPr>
      <w:r>
        <w:rPr>
          <w:rFonts w:hint="eastAsia" w:ascii="仿宋" w:hAnsi="仿宋" w:eastAsia="仿宋" w:cs="仿宋"/>
          <w:szCs w:val="21"/>
        </w:rPr>
        <w:t xml:space="preserve">    提供新旧址场内专用运输工具；</w:t>
      </w:r>
    </w:p>
    <w:p>
      <w:pPr>
        <w:spacing w:line="240" w:lineRule="auto"/>
        <w:rPr>
          <w:rFonts w:ascii="仿宋" w:hAnsi="仿宋" w:eastAsia="仿宋" w:cs="仿宋"/>
          <w:szCs w:val="21"/>
        </w:rPr>
      </w:pPr>
      <w:r>
        <w:rPr>
          <w:rFonts w:hint="eastAsia" w:ascii="仿宋" w:hAnsi="仿宋" w:eastAsia="仿宋" w:cs="仿宋"/>
          <w:szCs w:val="21"/>
        </w:rPr>
        <w:t xml:space="preserve">    提供合理车辆配置方案，包括但不限于装货卸货车辆、吊装车辆、专用运输封闭货车；</w:t>
      </w:r>
    </w:p>
    <w:p>
      <w:pPr>
        <w:spacing w:line="240" w:lineRule="auto"/>
        <w:rPr>
          <w:rFonts w:ascii="仿宋" w:hAnsi="仿宋" w:eastAsia="仿宋" w:cs="仿宋"/>
          <w:szCs w:val="21"/>
        </w:rPr>
      </w:pPr>
      <w:r>
        <w:rPr>
          <w:rFonts w:hint="eastAsia" w:ascii="仿宋" w:hAnsi="仿宋" w:eastAsia="仿宋" w:cs="仿宋"/>
          <w:szCs w:val="21"/>
        </w:rPr>
        <w:t xml:space="preserve">    合理的运输路线，避免运输过程的颠簸与震动；</w:t>
      </w:r>
    </w:p>
    <w:p>
      <w:pPr>
        <w:spacing w:line="240" w:lineRule="auto"/>
        <w:ind w:firstLine="420"/>
        <w:rPr>
          <w:rFonts w:ascii="仿宋" w:hAnsi="仿宋" w:eastAsia="仿宋" w:cs="仿宋"/>
          <w:szCs w:val="21"/>
        </w:rPr>
      </w:pPr>
      <w:r>
        <w:rPr>
          <w:rFonts w:hint="eastAsia" w:ascii="仿宋" w:hAnsi="仿宋" w:eastAsia="仿宋" w:cs="仿宋"/>
          <w:szCs w:val="21"/>
        </w:rPr>
        <w:t>根据仪器的新址就位位置一次性固定到位，如需二次就位则根据实际情况进行再次转运和就位,转运前需密封保管存放于甲方指定位置。</w:t>
      </w:r>
    </w:p>
    <w:p>
      <w:pPr>
        <w:spacing w:line="240" w:lineRule="auto"/>
        <w:ind w:firstLine="420"/>
        <w:rPr>
          <w:rFonts w:ascii="仿宋" w:hAnsi="仿宋" w:eastAsia="仿宋" w:cs="仿宋"/>
          <w:szCs w:val="21"/>
          <w:highlight w:val="yellow"/>
        </w:rPr>
      </w:pPr>
    </w:p>
    <w:p>
      <w:pPr>
        <w:spacing w:line="240" w:lineRule="auto"/>
        <w:rPr>
          <w:rFonts w:ascii="仿宋" w:hAnsi="仿宋" w:eastAsia="仿宋" w:cs="仿宋"/>
          <w:szCs w:val="21"/>
        </w:rPr>
      </w:pPr>
      <w:r>
        <w:rPr>
          <w:rFonts w:hint="eastAsia" w:ascii="仿宋" w:hAnsi="仿宋" w:eastAsia="仿宋" w:cs="仿宋"/>
          <w:szCs w:val="21"/>
        </w:rPr>
        <w:t>6.5保险</w:t>
      </w:r>
    </w:p>
    <w:p>
      <w:pPr>
        <w:spacing w:line="240" w:lineRule="auto"/>
        <w:rPr>
          <w:rFonts w:ascii="仿宋" w:hAnsi="仿宋" w:eastAsia="仿宋" w:cs="仿宋"/>
          <w:szCs w:val="21"/>
        </w:rPr>
      </w:pPr>
      <w:r>
        <w:rPr>
          <w:rFonts w:hint="eastAsia" w:ascii="仿宋" w:hAnsi="仿宋" w:eastAsia="仿宋" w:cs="仿宋"/>
          <w:szCs w:val="21"/>
        </w:rPr>
        <w:t xml:space="preserve">    为保障搬迁项目的顺利实施，为实施搬迁的资产提供全面保障，由乙方购买针对本项目仪器运输的保险协议。</w:t>
      </w:r>
    </w:p>
    <w:p>
      <w:pPr>
        <w:spacing w:line="240" w:lineRule="auto"/>
        <w:rPr>
          <w:rFonts w:ascii="仿宋" w:hAnsi="仿宋" w:eastAsia="仿宋" w:cs="仿宋"/>
          <w:szCs w:val="21"/>
        </w:rPr>
      </w:pPr>
      <w:r>
        <w:rPr>
          <w:rFonts w:hint="eastAsia" w:ascii="仿宋" w:hAnsi="仿宋" w:eastAsia="仿宋" w:cs="仿宋"/>
          <w:szCs w:val="21"/>
        </w:rPr>
        <w:t>6.6措施</w:t>
      </w:r>
    </w:p>
    <w:p>
      <w:pPr>
        <w:spacing w:line="240" w:lineRule="auto"/>
        <w:ind w:firstLine="420"/>
        <w:rPr>
          <w:rFonts w:ascii="仿宋" w:hAnsi="仿宋" w:eastAsia="仿宋" w:cs="仿宋"/>
          <w:szCs w:val="21"/>
        </w:rPr>
      </w:pPr>
      <w:r>
        <w:rPr>
          <w:rFonts w:hint="eastAsia" w:ascii="仿宋" w:hAnsi="仿宋" w:eastAsia="仿宋" w:cs="仿宋"/>
          <w:szCs w:val="21"/>
        </w:rPr>
        <w:t>为了更好的保证仪器在运输过程中的安全平稳以及整体搬迁过程中人员的安全，会对新旧址实验室进行破窗，使用吊车、吊装平台运出仪器，吊车需；同时为避免和防止在运作过程中不慎破坏大楼的硬件设施，在实施搬迁动作之前，将对旧址和新址所有可能运输中经过的区域，进行妥善的环境保护，运输</w:t>
      </w:r>
      <w:r>
        <w:rPr>
          <w:rFonts w:ascii="仿宋" w:hAnsi="仿宋" w:eastAsia="仿宋" w:cs="仿宋"/>
          <w:szCs w:val="21"/>
        </w:rPr>
        <w:t>过程中</w:t>
      </w:r>
      <w:r>
        <w:rPr>
          <w:rFonts w:hint="eastAsia" w:ascii="仿宋" w:hAnsi="仿宋" w:eastAsia="仿宋" w:cs="仿宋"/>
          <w:szCs w:val="21"/>
        </w:rPr>
        <w:t>采</w:t>
      </w:r>
      <w:r>
        <w:rPr>
          <w:rFonts w:ascii="仿宋" w:hAnsi="仿宋" w:eastAsia="仿宋" w:cs="仿宋"/>
          <w:szCs w:val="21"/>
        </w:rPr>
        <w:t>用气垫车进行运输，</w:t>
      </w:r>
      <w:r>
        <w:rPr>
          <w:rFonts w:hint="eastAsia" w:ascii="仿宋" w:hAnsi="仿宋" w:eastAsia="仿宋" w:cs="仿宋"/>
          <w:szCs w:val="21"/>
        </w:rPr>
        <w:t>多层</w:t>
      </w:r>
      <w:r>
        <w:rPr>
          <w:rFonts w:ascii="仿宋" w:hAnsi="仿宋" w:eastAsia="仿宋" w:cs="仿宋"/>
          <w:szCs w:val="21"/>
        </w:rPr>
        <w:t>减震包装，包括EPE</w:t>
      </w:r>
      <w:r>
        <w:rPr>
          <w:rFonts w:hint="eastAsia" w:ascii="仿宋" w:hAnsi="仿宋" w:eastAsia="仿宋" w:cs="仿宋"/>
          <w:szCs w:val="21"/>
        </w:rPr>
        <w:t>板，</w:t>
      </w:r>
      <w:r>
        <w:rPr>
          <w:rFonts w:ascii="仿宋" w:hAnsi="仿宋" w:eastAsia="仿宋" w:cs="仿宋"/>
          <w:szCs w:val="21"/>
        </w:rPr>
        <w:t>减震托盘等</w:t>
      </w:r>
      <w:r>
        <w:rPr>
          <w:rFonts w:hint="eastAsia" w:ascii="仿宋" w:hAnsi="仿宋" w:eastAsia="仿宋" w:cs="仿宋"/>
          <w:szCs w:val="21"/>
        </w:rPr>
        <w:t>，</w:t>
      </w:r>
      <w:r>
        <w:rPr>
          <w:rFonts w:ascii="仿宋" w:hAnsi="仿宋" w:eastAsia="仿宋" w:cs="仿宋"/>
          <w:szCs w:val="21"/>
        </w:rPr>
        <w:t>确保</w:t>
      </w:r>
      <w:r>
        <w:rPr>
          <w:rFonts w:hint="eastAsia" w:ascii="仿宋" w:hAnsi="仿宋" w:eastAsia="仿宋" w:cs="仿宋"/>
          <w:szCs w:val="21"/>
        </w:rPr>
        <w:t>平稳</w:t>
      </w:r>
      <w:r>
        <w:rPr>
          <w:rFonts w:ascii="仿宋" w:hAnsi="仿宋" w:eastAsia="仿宋" w:cs="仿宋"/>
          <w:szCs w:val="21"/>
        </w:rPr>
        <w:t>、安全、高效的</w:t>
      </w:r>
      <w:r>
        <w:rPr>
          <w:rFonts w:hint="eastAsia" w:ascii="仿宋" w:hAnsi="仿宋" w:eastAsia="仿宋" w:cs="仿宋"/>
          <w:szCs w:val="21"/>
        </w:rPr>
        <w:t>搬迁</w:t>
      </w:r>
      <w:r>
        <w:rPr>
          <w:rFonts w:ascii="仿宋" w:hAnsi="仿宋" w:eastAsia="仿宋" w:cs="仿宋"/>
          <w:szCs w:val="21"/>
        </w:rPr>
        <w:t>过程</w:t>
      </w:r>
      <w:r>
        <w:rPr>
          <w:rFonts w:hint="eastAsia" w:ascii="仿宋" w:hAnsi="仿宋" w:eastAsia="仿宋" w:cs="仿宋"/>
          <w:szCs w:val="21"/>
        </w:rPr>
        <w:t>。</w:t>
      </w:r>
    </w:p>
    <w:p>
      <w:pPr>
        <w:spacing w:line="240" w:lineRule="auto"/>
        <w:rPr>
          <w:rFonts w:ascii="仿宋" w:hAnsi="仿宋" w:eastAsia="仿宋" w:cs="仿宋"/>
          <w:szCs w:val="21"/>
        </w:rPr>
      </w:pPr>
      <w:r>
        <w:rPr>
          <w:rFonts w:hint="eastAsia" w:ascii="仿宋" w:hAnsi="仿宋" w:eastAsia="仿宋" w:cs="仿宋"/>
          <w:szCs w:val="21"/>
        </w:rPr>
        <w:t>7、实验室搬迁仪器清单</w:t>
      </w:r>
    </w:p>
    <w:p>
      <w:pPr>
        <w:spacing w:line="240" w:lineRule="auto"/>
        <w:rPr>
          <w:rFonts w:ascii="仿宋" w:hAnsi="仿宋" w:eastAsia="仿宋" w:cs="仿宋"/>
          <w:szCs w:val="21"/>
        </w:rPr>
      </w:pPr>
      <w:r>
        <w:rPr>
          <w:rFonts w:hint="eastAsia" w:ascii="仿宋" w:hAnsi="仿宋" w:eastAsia="仿宋" w:cs="仿宋"/>
          <w:szCs w:val="21"/>
        </w:rPr>
        <w:t>序号</w:t>
      </w:r>
      <w:r>
        <w:rPr>
          <w:rFonts w:hint="eastAsia" w:ascii="仿宋" w:hAnsi="仿宋" w:eastAsia="仿宋" w:cs="仿宋"/>
          <w:sz w:val="18"/>
          <w:szCs w:val="18"/>
        </w:rPr>
        <w:t>1</w:t>
      </w:r>
      <w:r>
        <w:rPr>
          <w:rFonts w:hint="eastAsia" w:ascii="仿宋" w:hAnsi="仿宋" w:eastAsia="仿宋" w:cs="仿宋"/>
          <w:szCs w:val="21"/>
        </w:rPr>
        <w:t>为电子探针分析仪的主机，其他序号为仪器附件。</w:t>
      </w:r>
    </w:p>
    <w:tbl>
      <w:tblPr>
        <w:tblStyle w:val="43"/>
        <w:tblW w:w="9401" w:type="dxa"/>
        <w:tblInd w:w="0" w:type="dxa"/>
        <w:tblLayout w:type="fixed"/>
        <w:tblCellMar>
          <w:top w:w="0" w:type="dxa"/>
          <w:left w:w="108" w:type="dxa"/>
          <w:bottom w:w="0" w:type="dxa"/>
          <w:right w:w="108" w:type="dxa"/>
        </w:tblCellMar>
      </w:tblPr>
      <w:tblGrid>
        <w:gridCol w:w="736"/>
        <w:gridCol w:w="4026"/>
        <w:gridCol w:w="3238"/>
        <w:gridCol w:w="1401"/>
      </w:tblGrid>
      <w:tr>
        <w:tblPrEx>
          <w:tblLayout w:type="fixed"/>
          <w:tblCellMar>
            <w:top w:w="0" w:type="dxa"/>
            <w:left w:w="108" w:type="dxa"/>
            <w:bottom w:w="0" w:type="dxa"/>
            <w:right w:w="108" w:type="dxa"/>
          </w:tblCellMar>
        </w:tblPrEx>
        <w:trPr>
          <w:trHeight w:val="187" w:hRule="atLeast"/>
        </w:trPr>
        <w:tc>
          <w:tcPr>
            <w:tcW w:w="736" w:type="dxa"/>
            <w:tcBorders>
              <w:top w:val="single" w:color="000000" w:sz="8" w:space="0"/>
              <w:left w:val="single" w:color="000000" w:sz="8" w:space="0"/>
              <w:bottom w:val="single" w:color="000000" w:sz="8" w:space="0"/>
              <w:right w:val="single" w:color="000000" w:sz="8" w:space="0"/>
            </w:tcBorders>
            <w:shd w:val="clear" w:color="000000" w:fill="FFFFFF" w:themeFill="background1"/>
            <w:vAlign w:val="center"/>
          </w:tcPr>
          <w:p>
            <w:pPr>
              <w:spacing w:line="240" w:lineRule="auto"/>
              <w:jc w:val="center"/>
              <w:rPr>
                <w:rFonts w:ascii="仿宋" w:hAnsi="仿宋" w:eastAsia="仿宋" w:cs="仿宋"/>
                <w:b/>
                <w:bCs/>
                <w:sz w:val="20"/>
              </w:rPr>
            </w:pPr>
            <w:r>
              <w:rPr>
                <w:rFonts w:hint="eastAsia" w:ascii="仿宋" w:hAnsi="仿宋" w:eastAsia="仿宋" w:cs="仿宋"/>
                <w:b/>
                <w:bCs/>
                <w:sz w:val="20"/>
              </w:rPr>
              <w:t>序号</w:t>
            </w:r>
          </w:p>
        </w:tc>
        <w:tc>
          <w:tcPr>
            <w:tcW w:w="4026" w:type="dxa"/>
            <w:tcBorders>
              <w:top w:val="single" w:color="000000" w:sz="8" w:space="0"/>
              <w:left w:val="nil"/>
              <w:bottom w:val="single" w:color="000000" w:sz="8" w:space="0"/>
              <w:right w:val="single" w:color="000000" w:sz="8" w:space="0"/>
            </w:tcBorders>
            <w:shd w:val="clear" w:color="000000" w:fill="FFFFFF" w:themeFill="background1"/>
            <w:vAlign w:val="center"/>
          </w:tcPr>
          <w:p>
            <w:pPr>
              <w:spacing w:line="240" w:lineRule="auto"/>
              <w:jc w:val="center"/>
              <w:rPr>
                <w:rFonts w:ascii="仿宋" w:hAnsi="仿宋" w:eastAsia="仿宋" w:cs="仿宋"/>
                <w:b/>
                <w:bCs/>
                <w:sz w:val="20"/>
              </w:rPr>
            </w:pPr>
            <w:r>
              <w:rPr>
                <w:rFonts w:hint="eastAsia" w:ascii="仿宋" w:hAnsi="仿宋" w:eastAsia="仿宋" w:cs="仿宋"/>
                <w:b/>
                <w:bCs/>
                <w:sz w:val="20"/>
              </w:rPr>
              <w:t>设备名称</w:t>
            </w:r>
          </w:p>
        </w:tc>
        <w:tc>
          <w:tcPr>
            <w:tcW w:w="3238" w:type="dxa"/>
            <w:tcBorders>
              <w:top w:val="single" w:color="000000" w:sz="8" w:space="0"/>
              <w:left w:val="nil"/>
              <w:bottom w:val="single" w:color="000000" w:sz="8" w:space="0"/>
              <w:right w:val="single" w:color="000000" w:sz="8" w:space="0"/>
            </w:tcBorders>
            <w:shd w:val="clear" w:color="000000" w:fill="FFFFFF" w:themeFill="background1"/>
            <w:vAlign w:val="center"/>
          </w:tcPr>
          <w:p>
            <w:pPr>
              <w:spacing w:line="240" w:lineRule="auto"/>
              <w:jc w:val="center"/>
              <w:rPr>
                <w:rFonts w:ascii="仿宋" w:hAnsi="仿宋" w:eastAsia="仿宋" w:cs="仿宋"/>
                <w:b/>
                <w:bCs/>
                <w:sz w:val="20"/>
              </w:rPr>
            </w:pPr>
            <w:r>
              <w:rPr>
                <w:rFonts w:hint="eastAsia" w:ascii="仿宋" w:hAnsi="仿宋" w:eastAsia="仿宋" w:cs="仿宋"/>
                <w:b/>
                <w:bCs/>
                <w:sz w:val="20"/>
              </w:rPr>
              <w:t>型号</w:t>
            </w:r>
          </w:p>
        </w:tc>
        <w:tc>
          <w:tcPr>
            <w:tcW w:w="1401" w:type="dxa"/>
            <w:tcBorders>
              <w:top w:val="single" w:color="000000" w:sz="8" w:space="0"/>
              <w:left w:val="nil"/>
              <w:bottom w:val="single" w:color="000000" w:sz="8" w:space="0"/>
              <w:right w:val="single" w:color="000000" w:sz="8" w:space="0"/>
            </w:tcBorders>
            <w:shd w:val="clear" w:color="000000" w:fill="FFFFFF" w:themeFill="background1"/>
            <w:vAlign w:val="center"/>
          </w:tcPr>
          <w:p>
            <w:pPr>
              <w:spacing w:line="240" w:lineRule="auto"/>
              <w:jc w:val="center"/>
              <w:rPr>
                <w:rFonts w:ascii="仿宋" w:hAnsi="仿宋" w:eastAsia="仿宋" w:cs="仿宋"/>
                <w:b/>
                <w:bCs/>
                <w:sz w:val="20"/>
              </w:rPr>
            </w:pPr>
            <w:r>
              <w:rPr>
                <w:rFonts w:hint="eastAsia" w:ascii="仿宋" w:hAnsi="仿宋" w:eastAsia="仿宋" w:cs="仿宋"/>
                <w:b/>
                <w:bCs/>
                <w:sz w:val="20"/>
              </w:rPr>
              <w:t>数量</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电子探针显微分析仪（仪器主机）</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xml:space="preserve"> JXA-8230(4道)</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178"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主计算机系统1（用于探针）</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Z420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2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主计算机系统2（用于牛津能谱）</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4</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显示器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5</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显示器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6</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高真空镀膜仪</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JEE-420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690"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7</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显示器（连于牛津能谱）</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8</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循环冷却水箱</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SM-78020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9</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CCD 相机</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CVM2250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10</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镀膜仪水箱</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BLK②</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11</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不间断电源UPS</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8组</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12</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干燥柜</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DHC-120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13</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全色阴极发光系统</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XM-Z09013TPCL</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9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14</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EDS 能谱仪</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SDD EDS for JXA-8230: X-Max20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15</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高纯氮瓶</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氮气</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16</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高纯氮瓶</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氮气</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17</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氩甲烷气瓶</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混合气体</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18</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稳压变压器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蓝色</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19</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降压变压器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蓝色</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20</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小变压器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白色</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21</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工作台1</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1.2m*1.5m</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22</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工作台2</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1.2m*1m</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23</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工作台3</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0.4*1m</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24</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样品台1</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1.4m宽</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25</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样品台2</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1.4m宽</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26</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NO.5</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27</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备品备件箱2</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NO.9</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28</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备品备件箱3</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NO.10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29</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备品备件箱4</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NO.14</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30</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备品备件箱5</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NO.16</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31</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备品备件箱6</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NO.21</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32</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备品备件箱7</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NO.26</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33</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备品备件箱8</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NO.30</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34</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备品备件箱9</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NO.31 1/2</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35</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备品备件箱10</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NO.33</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36</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备品备件箱11</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NO.34</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37</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备品备件箱12</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NO.29</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38</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备品备件箱13</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NO.36</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39</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备品备件箱14</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NO.37</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46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40</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备品备件箱15</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NO.35</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41</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监控设备</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42</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路由器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r>
        <w:tblPrEx>
          <w:tblLayout w:type="fixed"/>
          <w:tblCellMar>
            <w:top w:w="0" w:type="dxa"/>
            <w:left w:w="108" w:type="dxa"/>
            <w:bottom w:w="0" w:type="dxa"/>
            <w:right w:w="108" w:type="dxa"/>
          </w:tblCellMar>
        </w:tblPrEx>
        <w:trPr>
          <w:trHeight w:val="285"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43</w:t>
            </w:r>
          </w:p>
        </w:tc>
        <w:tc>
          <w:tcPr>
            <w:tcW w:w="4026"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削碳棒器</w:t>
            </w:r>
          </w:p>
        </w:tc>
        <w:tc>
          <w:tcPr>
            <w:tcW w:w="3238"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　</w:t>
            </w:r>
          </w:p>
        </w:tc>
        <w:tc>
          <w:tcPr>
            <w:tcW w:w="1401" w:type="dxa"/>
            <w:tcBorders>
              <w:top w:val="nil"/>
              <w:left w:val="nil"/>
              <w:bottom w:val="single" w:color="000000" w:sz="8" w:space="0"/>
              <w:right w:val="single" w:color="000000" w:sz="8" w:space="0"/>
            </w:tcBorders>
            <w:shd w:val="clear" w:color="auto" w:fill="auto"/>
            <w:vAlign w:val="center"/>
          </w:tcPr>
          <w:p>
            <w:pPr>
              <w:spacing w:line="240" w:lineRule="auto"/>
              <w:jc w:val="center"/>
              <w:rPr>
                <w:rFonts w:ascii="仿宋" w:hAnsi="仿宋" w:eastAsia="仿宋" w:cs="仿宋"/>
                <w:sz w:val="18"/>
                <w:szCs w:val="18"/>
              </w:rPr>
            </w:pPr>
            <w:r>
              <w:rPr>
                <w:rFonts w:hint="eastAsia" w:ascii="仿宋" w:hAnsi="仿宋" w:eastAsia="仿宋" w:cs="仿宋"/>
                <w:sz w:val="18"/>
                <w:szCs w:val="18"/>
              </w:rPr>
              <w:t>1</w:t>
            </w:r>
          </w:p>
        </w:tc>
      </w:tr>
    </w:tbl>
    <w:p>
      <w:pPr>
        <w:spacing w:line="240" w:lineRule="auto"/>
        <w:rPr>
          <w:rFonts w:ascii="仿宋" w:hAnsi="仿宋" w:eastAsia="仿宋" w:cs="仿宋"/>
          <w:szCs w:val="21"/>
        </w:rPr>
      </w:pPr>
    </w:p>
    <w:p>
      <w:pPr>
        <w:spacing w:line="240" w:lineRule="auto"/>
        <w:rPr>
          <w:rFonts w:ascii="仿宋" w:hAnsi="仿宋" w:eastAsia="仿宋" w:cs="仿宋"/>
          <w:szCs w:val="21"/>
        </w:rPr>
      </w:pPr>
      <w:r>
        <w:rPr>
          <w:rFonts w:hint="eastAsia" w:ascii="仿宋" w:hAnsi="仿宋" w:eastAsia="仿宋" w:cs="仿宋"/>
          <w:szCs w:val="21"/>
        </w:rPr>
        <w:t>搬迁位置</w:t>
      </w:r>
    </w:p>
    <w:tbl>
      <w:tblPr>
        <w:tblStyle w:val="43"/>
        <w:tblW w:w="9645" w:type="dxa"/>
        <w:tblInd w:w="58" w:type="dxa"/>
        <w:tblLayout w:type="fixed"/>
        <w:tblCellMar>
          <w:top w:w="15" w:type="dxa"/>
          <w:left w:w="15" w:type="dxa"/>
          <w:bottom w:w="15" w:type="dxa"/>
          <w:right w:w="15" w:type="dxa"/>
        </w:tblCellMar>
      </w:tblPr>
      <w:tblGrid>
        <w:gridCol w:w="510"/>
        <w:gridCol w:w="1365"/>
        <w:gridCol w:w="1500"/>
        <w:gridCol w:w="1365"/>
        <w:gridCol w:w="1065"/>
        <w:gridCol w:w="660"/>
        <w:gridCol w:w="1230"/>
        <w:gridCol w:w="1110"/>
        <w:gridCol w:w="840"/>
      </w:tblGrid>
      <w:tr>
        <w:tblPrEx>
          <w:tblLayout w:type="fixed"/>
          <w:tblCellMar>
            <w:top w:w="15" w:type="dxa"/>
            <w:left w:w="15" w:type="dxa"/>
            <w:bottom w:w="15" w:type="dxa"/>
            <w:right w:w="15" w:type="dxa"/>
          </w:tblCellMar>
        </w:tblPrEx>
        <w:trPr>
          <w:trHeight w:val="6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所在部门</w:t>
            </w:r>
          </w:p>
        </w:tc>
        <w:tc>
          <w:tcPr>
            <w:tcW w:w="150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设备名称</w:t>
            </w:r>
          </w:p>
        </w:tc>
        <w:tc>
          <w:tcPr>
            <w:tcW w:w="1365"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型号</w:t>
            </w:r>
          </w:p>
        </w:tc>
        <w:tc>
          <w:tcPr>
            <w:tcW w:w="1065"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厂家</w:t>
            </w:r>
          </w:p>
        </w:tc>
        <w:tc>
          <w:tcPr>
            <w:tcW w:w="66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南校位置确认</w:t>
            </w:r>
          </w:p>
        </w:tc>
        <w:tc>
          <w:tcPr>
            <w:tcW w:w="111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北校位置确认</w:t>
            </w:r>
          </w:p>
        </w:tc>
        <w:tc>
          <w:tcPr>
            <w:tcW w:w="840" w:type="dxa"/>
            <w:tcBorders>
              <w:top w:val="single" w:color="000000" w:sz="4" w:space="0"/>
              <w:left w:val="single" w:color="000000" w:sz="4" w:space="0"/>
              <w:bottom w:val="single" w:color="000000" w:sz="4" w:space="0"/>
              <w:right w:val="single" w:color="000000" w:sz="4" w:space="0"/>
            </w:tcBorders>
            <w:shd w:val="clear" w:color="auto" w:fill="002060"/>
            <w:vAlign w:val="center"/>
          </w:tcPr>
          <w:p>
            <w:pPr>
              <w:jc w:val="center"/>
              <w:textAlignment w:val="center"/>
              <w:rPr>
                <w:rFonts w:hint="eastAsia" w:asciiTheme="minorEastAsia" w:hAnsiTheme="minorEastAsia" w:cstheme="minorEastAsia"/>
                <w:b/>
                <w:sz w:val="20"/>
              </w:rPr>
            </w:pPr>
            <w:r>
              <w:rPr>
                <w:rFonts w:hint="eastAsia" w:asciiTheme="minorEastAsia" w:hAnsiTheme="minorEastAsia" w:cstheme="minorEastAsia"/>
                <w:b/>
                <w:sz w:val="20"/>
              </w:rPr>
              <w:t>联系人</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电子探针显微分析仪（仪器）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JXA-8230(4道)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日本电子JEOL公司</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570"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主计算机系统1（用于探针）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Z420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惠普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855"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主计算机系统2（用于牛津能谱）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惠普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显示器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Dell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显示器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Dell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高真空镀膜仪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JEE-420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日本电子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570"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显示器（连于牛津能谱）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PHILIPS</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循环冷却水箱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SM-78020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JEOL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CCD 相机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CVM2250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JAL.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570"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镀膜仪水箱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BLK②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北京众合创业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不间断电源UPS</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8组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SANTAK</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570"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干燥柜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DHC-120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Huitong</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855"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全色阴极发光系统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XM-Z09013TPCL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JEOL（日本电子）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1140"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EDS 能谱仪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SDD EDS for JXA-8230: X-Max20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牛津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高纯氮瓶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氮气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光明气体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高纯氮瓶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氮气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光明气体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855"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氩甲烷气瓶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混合气体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北京氦普北分气体工业有限公司</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稳压变压器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蓝色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降压变压器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蓝色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小变压器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白色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工作台1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1.2m*1.5m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工作台2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inorEastAsia" w:hAnsiTheme="minorEastAsia" w:cstheme="minorEastAsia"/>
                <w:sz w:val="22"/>
                <w:szCs w:val="22"/>
              </w:rPr>
            </w:pPr>
            <w:r>
              <w:rPr>
                <w:rFonts w:hint="eastAsia" w:asciiTheme="minorEastAsia" w:hAnsiTheme="minorEastAsia" w:cstheme="minorEastAsia"/>
                <w:sz w:val="22"/>
                <w:szCs w:val="22"/>
              </w:rPr>
              <w:t>1.2m*1m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工作台3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0.4*1m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样品台1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1.4m宽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样品台2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1.4m宽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29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NO.14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NO.21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NO.26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NO.31 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NO.29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39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40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备品备件箱15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NO.35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41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监控设备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42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路由器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r>
        <w:tblPrEx>
          <w:tblLayout w:type="fixed"/>
          <w:tblCellMar>
            <w:top w:w="15" w:type="dxa"/>
            <w:left w:w="15" w:type="dxa"/>
            <w:bottom w:w="15" w:type="dxa"/>
            <w:right w:w="15" w:type="dxa"/>
          </w:tblCellMar>
        </w:tblPrEx>
        <w:trPr>
          <w:trHeight w:val="286" w:hRule="atLeast"/>
        </w:trPr>
        <w:tc>
          <w:tcPr>
            <w:tcW w:w="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43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地球科学学院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削碳棒器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化学楼201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长庚楼123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cstheme="minorEastAsia"/>
                <w:sz w:val="18"/>
                <w:szCs w:val="18"/>
              </w:rPr>
            </w:pPr>
            <w:r>
              <w:rPr>
                <w:rFonts w:hint="eastAsia" w:asciiTheme="minorEastAsia" w:hAnsiTheme="minorEastAsia" w:cstheme="minorEastAsia"/>
                <w:sz w:val="18"/>
                <w:szCs w:val="18"/>
              </w:rPr>
              <w:t>陆老师</w:t>
            </w:r>
          </w:p>
        </w:tc>
      </w:tr>
    </w:tbl>
    <w:p>
      <w:pPr>
        <w:spacing w:line="240" w:lineRule="auto"/>
        <w:rPr>
          <w:rFonts w:ascii="仿宋" w:hAnsi="仿宋" w:eastAsia="仿宋" w:cs="仿宋"/>
          <w:szCs w:val="21"/>
          <w:highlight w:val="yellow"/>
        </w:rPr>
      </w:pPr>
    </w:p>
    <w:p>
      <w:pPr>
        <w:spacing w:line="240" w:lineRule="auto"/>
        <w:rPr>
          <w:rFonts w:ascii="仿宋" w:hAnsi="仿宋" w:eastAsia="仿宋" w:cs="仿宋"/>
          <w:szCs w:val="21"/>
          <w:highlight w:val="yellow"/>
        </w:rPr>
      </w:pPr>
    </w:p>
    <w:p>
      <w:pPr>
        <w:spacing w:line="240" w:lineRule="auto"/>
        <w:rPr>
          <w:rFonts w:ascii="仿宋" w:hAnsi="仿宋" w:eastAsia="仿宋" w:cs="仿宋"/>
          <w:szCs w:val="21"/>
        </w:rPr>
      </w:pPr>
      <w:r>
        <w:rPr>
          <w:rFonts w:hint="eastAsia" w:ascii="仿宋" w:hAnsi="仿宋" w:eastAsia="仿宋" w:cs="仿宋"/>
          <w:b/>
          <w:szCs w:val="21"/>
        </w:rPr>
        <w:t>8、所需服务内容</w:t>
      </w:r>
    </w:p>
    <w:tbl>
      <w:tblPr>
        <w:tblStyle w:val="44"/>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82"/>
        <w:gridCol w:w="2043"/>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14" w:type="dxa"/>
            <w:shd w:val="clear" w:color="auto" w:fill="BEBEBE" w:themeFill="background1" w:themeFillShade="BF"/>
            <w:vAlign w:val="center"/>
          </w:tcPr>
          <w:p>
            <w:pPr>
              <w:jc w:val="center"/>
              <w:rPr>
                <w:rFonts w:ascii="仿宋" w:hAnsi="仿宋" w:eastAsia="仿宋" w:cs="仿宋"/>
                <w:b/>
                <w:szCs w:val="21"/>
                <w:u w:color="000000"/>
              </w:rPr>
            </w:pPr>
            <w:r>
              <w:rPr>
                <w:rFonts w:hint="eastAsia" w:ascii="仿宋" w:hAnsi="仿宋" w:eastAsia="仿宋" w:cs="仿宋"/>
                <w:b/>
                <w:szCs w:val="21"/>
                <w:u w:color="000000"/>
              </w:rPr>
              <w:t>部分</w:t>
            </w:r>
          </w:p>
        </w:tc>
        <w:tc>
          <w:tcPr>
            <w:tcW w:w="782" w:type="dxa"/>
            <w:shd w:val="clear" w:color="auto" w:fill="BEBEBE" w:themeFill="background1" w:themeFillShade="BF"/>
            <w:vAlign w:val="center"/>
          </w:tcPr>
          <w:p>
            <w:pPr>
              <w:jc w:val="center"/>
              <w:rPr>
                <w:rFonts w:ascii="仿宋" w:hAnsi="仿宋" w:eastAsia="仿宋" w:cs="仿宋"/>
                <w:b/>
                <w:szCs w:val="21"/>
                <w:u w:color="000000"/>
              </w:rPr>
            </w:pPr>
            <w:r>
              <w:rPr>
                <w:rFonts w:hint="eastAsia" w:ascii="仿宋" w:hAnsi="仿宋" w:eastAsia="仿宋" w:cs="仿宋"/>
                <w:b/>
                <w:szCs w:val="21"/>
                <w:u w:color="000000"/>
              </w:rPr>
              <w:t>序号</w:t>
            </w:r>
          </w:p>
        </w:tc>
        <w:tc>
          <w:tcPr>
            <w:tcW w:w="2043" w:type="dxa"/>
            <w:shd w:val="clear" w:color="auto" w:fill="BEBEBE" w:themeFill="background1" w:themeFillShade="BF"/>
            <w:vAlign w:val="center"/>
          </w:tcPr>
          <w:p>
            <w:pPr>
              <w:jc w:val="center"/>
              <w:rPr>
                <w:rFonts w:ascii="仿宋" w:hAnsi="仿宋" w:eastAsia="仿宋" w:cs="仿宋"/>
                <w:b/>
                <w:szCs w:val="21"/>
                <w:u w:color="000000"/>
              </w:rPr>
            </w:pPr>
            <w:r>
              <w:rPr>
                <w:rFonts w:hint="eastAsia" w:ascii="仿宋" w:hAnsi="仿宋" w:eastAsia="仿宋" w:cs="仿宋"/>
                <w:b/>
                <w:szCs w:val="21"/>
                <w:u w:color="000000"/>
              </w:rPr>
              <w:t>服务名称</w:t>
            </w:r>
          </w:p>
        </w:tc>
        <w:tc>
          <w:tcPr>
            <w:tcW w:w="6051" w:type="dxa"/>
            <w:shd w:val="clear" w:color="auto" w:fill="BEBEBE" w:themeFill="background1" w:themeFillShade="BF"/>
            <w:vAlign w:val="center"/>
          </w:tcPr>
          <w:p>
            <w:pPr>
              <w:jc w:val="center"/>
              <w:rPr>
                <w:rFonts w:ascii="仿宋" w:hAnsi="仿宋" w:eastAsia="仿宋" w:cs="仿宋"/>
                <w:b/>
                <w:szCs w:val="21"/>
                <w:u w:color="000000"/>
              </w:rPr>
            </w:pPr>
            <w:r>
              <w:rPr>
                <w:rFonts w:hint="eastAsia" w:ascii="仿宋" w:hAnsi="仿宋" w:eastAsia="仿宋" w:cs="仿宋"/>
                <w:b/>
                <w:szCs w:val="21"/>
                <w:u w:color="000000"/>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14" w:type="dxa"/>
            <w:vMerge w:val="restart"/>
            <w:vAlign w:val="center"/>
          </w:tcPr>
          <w:p>
            <w:pPr>
              <w:jc w:val="center"/>
              <w:rPr>
                <w:rFonts w:ascii="仿宋" w:hAnsi="仿宋" w:eastAsia="仿宋" w:cs="仿宋"/>
                <w:szCs w:val="21"/>
                <w:u w:color="000000"/>
              </w:rPr>
            </w:pPr>
            <w:r>
              <w:rPr>
                <w:rFonts w:hint="eastAsia" w:ascii="仿宋" w:hAnsi="仿宋" w:eastAsia="仿宋" w:cs="仿宋"/>
                <w:szCs w:val="21"/>
                <w:u w:color="000000"/>
              </w:rPr>
              <w:t>实验室整体</w:t>
            </w:r>
          </w:p>
          <w:p>
            <w:pPr>
              <w:jc w:val="center"/>
              <w:rPr>
                <w:rFonts w:ascii="仿宋" w:hAnsi="仿宋" w:eastAsia="仿宋" w:cs="仿宋"/>
                <w:szCs w:val="21"/>
                <w:u w:color="000000"/>
              </w:rPr>
            </w:pPr>
            <w:r>
              <w:rPr>
                <w:rFonts w:hint="eastAsia" w:ascii="仿宋" w:hAnsi="仿宋" w:eastAsia="仿宋" w:cs="仿宋"/>
                <w:szCs w:val="21"/>
                <w:u w:color="000000"/>
              </w:rPr>
              <w:t>搬迁服务</w:t>
            </w: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1</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仪器盘点及拆机前测试</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1、资产盘点，将实施整体搬迁仪器及附属物资输入智能管理系统，实现旧址到新址点对点的扫码对应，同时对过程文件（包括对仪器设备搬运状态、测试报告结果、搬运人员等动态信息的即时查询）进行数字化管理，通过该机制及时了解项目进展，可追溯实现有效沟通。</w:t>
            </w:r>
            <w:r>
              <w:rPr>
                <w:rFonts w:hint="eastAsia" w:ascii="仿宋" w:hAnsi="仿宋" w:eastAsia="仿宋" w:cs="仿宋"/>
                <w:szCs w:val="21"/>
              </w:rPr>
              <w:br w:type="textWrapping"/>
            </w:r>
            <w:r>
              <w:rPr>
                <w:rFonts w:hint="eastAsia" w:ascii="仿宋" w:hAnsi="仿宋" w:eastAsia="仿宋" w:cs="仿宋"/>
                <w:szCs w:val="21"/>
              </w:rPr>
              <w:t>2、在搬迁前针对所有仪器设备，由专业工程师进行搬迁前检测和状态确认，并在得到仪器负责人的确认后开始拆卸包装和运输等搬迁工作。</w:t>
            </w:r>
            <w:r>
              <w:rPr>
                <w:rFonts w:hint="eastAsia" w:ascii="仿宋" w:hAnsi="仿宋" w:eastAsia="仿宋" w:cs="仿宋"/>
                <w:szCs w:val="21"/>
              </w:rPr>
              <w:br w:type="textWrapping"/>
            </w:r>
            <w:r>
              <w:rPr>
                <w:rFonts w:hint="eastAsia" w:ascii="仿宋" w:hAnsi="仿宋" w:eastAsia="仿宋" w:cs="仿宋"/>
                <w:szCs w:val="21"/>
              </w:rPr>
              <w:t>3、针对小型精密仪器的搬迁前状态确认，现场专业工程师将根据仪器情况，将具体的仪器信息和测试内容填入该表，并在测试完成之后用户进行签字确认。</w:t>
            </w:r>
            <w:r>
              <w:rPr>
                <w:rFonts w:hint="eastAsia" w:ascii="仿宋" w:hAnsi="仿宋" w:eastAsia="仿宋" w:cs="仿宋"/>
                <w:szCs w:val="21"/>
              </w:rPr>
              <w:br w:type="textWrapping"/>
            </w:r>
            <w:r>
              <w:rPr>
                <w:rFonts w:hint="eastAsia" w:ascii="仿宋" w:hAnsi="仿宋" w:eastAsia="仿宋" w:cs="仿宋"/>
                <w:szCs w:val="21"/>
              </w:rPr>
              <w:t>4、针对大型精密仪器，对每一种类型的大型精密仪器都具有专业的测试步骤和模板。</w:t>
            </w:r>
            <w:r>
              <w:rPr>
                <w:rFonts w:hint="eastAsia" w:ascii="仿宋" w:hAnsi="仿宋" w:eastAsia="仿宋" w:cs="仿宋"/>
                <w:szCs w:val="21"/>
              </w:rPr>
              <w:br w:type="textWrapping"/>
            </w:r>
            <w:r>
              <w:rPr>
                <w:rFonts w:hint="eastAsia" w:ascii="仿宋" w:hAnsi="仿宋" w:eastAsia="仿宋" w:cs="仿宋"/>
                <w:szCs w:val="21"/>
              </w:rPr>
              <w:t>5、服务方提供仪器测试过程中所需标物。</w:t>
            </w:r>
            <w:r>
              <w:rPr>
                <w:rFonts w:hint="eastAsia" w:ascii="仿宋" w:hAnsi="仿宋" w:eastAsia="仿宋" w:cs="仿宋"/>
                <w:szCs w:val="21"/>
              </w:rPr>
              <w:br w:type="textWrapping"/>
            </w:r>
            <w:r>
              <w:rPr>
                <w:rFonts w:hint="eastAsia" w:ascii="仿宋" w:hAnsi="仿宋" w:eastAsia="仿宋" w:cs="仿宋"/>
                <w:szCs w:val="21"/>
              </w:rPr>
              <w:t>6、服务方将在新址实验室装修完成后，实验室环境进行评价，确保迁进实验室状况达到仪器使用标准，并对不达标情况提供整改建议书。</w:t>
            </w:r>
            <w:r>
              <w:rPr>
                <w:rFonts w:hint="eastAsia" w:ascii="仿宋" w:hAnsi="仿宋" w:eastAsia="仿宋" w:cs="仿宋"/>
                <w:szCs w:val="21"/>
              </w:rPr>
              <w:br w:type="textWrapping"/>
            </w:r>
            <w:r>
              <w:rPr>
                <w:rFonts w:hint="eastAsia" w:ascii="仿宋" w:hAnsi="仿宋" w:eastAsia="仿宋" w:cs="仿宋"/>
                <w:szCs w:val="21"/>
              </w:rPr>
              <w:t>7、根据整体搬迁仪器种类，不同产品线的仪器技术工程师将仪器设备，尤其是所有的高值精密仪器设备的安装条件汇总，比如水、电、气、排风等，并形成汇总表。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2</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仪器拆卸</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仪器状态确认完成并签字确认后将对仪器进行拆机（包括断开连接、模块拆卸）。仪器的拆装工作都将由专业的工程师来完成，在整个拆机过程中将根据仪器分类按照不同的注意事项和要求对所有仪器进行拆机，过程中包含对仪器除尘等清洁工作，如在拆解过程中出现损坏由服务方负责，并同时对所有模块、组件、配件等内容进行清晰标记和拍照处理；根据以上对仪器的分类，对于各类不同的仪器都有不同的需要准备和注意的事项。</w:t>
            </w:r>
            <w:r>
              <w:rPr>
                <w:rFonts w:hint="eastAsia" w:ascii="仿宋" w:hAnsi="仿宋" w:eastAsia="仿宋" w:cs="仿宋"/>
                <w:szCs w:val="21"/>
              </w:rPr>
              <w:br w:type="textWrapping"/>
            </w:r>
            <w:r>
              <w:rPr>
                <w:rFonts w:hint="eastAsia" w:ascii="仿宋" w:hAnsi="仿宋" w:eastAsia="仿宋" w:cs="仿宋"/>
                <w:szCs w:val="21"/>
              </w:rPr>
              <w:t>- 多品牌专业服务工程师</w:t>
            </w:r>
            <w:r>
              <w:rPr>
                <w:rFonts w:hint="eastAsia" w:ascii="仿宋" w:hAnsi="仿宋" w:eastAsia="仿宋" w:cs="仿宋"/>
                <w:szCs w:val="21"/>
              </w:rPr>
              <w:br w:type="textWrapping"/>
            </w:r>
            <w:r>
              <w:rPr>
                <w:rFonts w:hint="eastAsia" w:ascii="仿宋" w:hAnsi="仿宋" w:eastAsia="仿宋" w:cs="仿宋"/>
                <w:szCs w:val="21"/>
              </w:rPr>
              <w:t>- 确保仪器按照仪器原有出产厂商标准拆机</w:t>
            </w:r>
            <w:r>
              <w:rPr>
                <w:rFonts w:hint="eastAsia" w:ascii="仿宋" w:hAnsi="仿宋" w:eastAsia="仿宋" w:cs="仿宋"/>
                <w:szCs w:val="21"/>
              </w:rPr>
              <w:br w:type="textWrapping"/>
            </w:r>
            <w:r>
              <w:rPr>
                <w:rFonts w:hint="eastAsia" w:ascii="仿宋" w:hAnsi="仿宋" w:eastAsia="仿宋" w:cs="仿宋"/>
                <w:szCs w:val="21"/>
              </w:rPr>
              <w:t>- 协调有毒有害材料的处理及仪器的清洁除尘工作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3</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仪器精细包装</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提供如下的物流计划，根据以上对仪器的分类，对于各类不同的仪器都有不同的需要准备和注意的事项如下。</w:t>
            </w:r>
            <w:r>
              <w:rPr>
                <w:rFonts w:hint="eastAsia" w:ascii="仿宋" w:hAnsi="仿宋" w:eastAsia="仿宋" w:cs="仿宋"/>
                <w:szCs w:val="21"/>
              </w:rPr>
              <w:br w:type="textWrapping"/>
            </w:r>
            <w:r>
              <w:rPr>
                <w:rFonts w:hint="eastAsia" w:ascii="仿宋" w:hAnsi="仿宋" w:eastAsia="仿宋" w:cs="仿宋"/>
                <w:szCs w:val="21"/>
              </w:rPr>
              <w:t>1) 一类设备包装</w:t>
            </w:r>
            <w:r>
              <w:rPr>
                <w:rFonts w:hint="eastAsia" w:ascii="仿宋" w:hAnsi="仿宋" w:eastAsia="仿宋" w:cs="仿宋"/>
                <w:szCs w:val="21"/>
              </w:rPr>
              <w:br w:type="textWrapping"/>
            </w:r>
            <w:r>
              <w:rPr>
                <w:rFonts w:hint="eastAsia" w:ascii="仿宋" w:hAnsi="仿宋" w:eastAsia="仿宋" w:cs="仿宋"/>
                <w:szCs w:val="21"/>
              </w:rPr>
              <w:t>- 根据设备尺寸大小，选择合适纸板箱</w:t>
            </w:r>
            <w:r>
              <w:rPr>
                <w:rFonts w:hint="eastAsia" w:ascii="仿宋" w:hAnsi="仿宋" w:eastAsia="仿宋" w:cs="仿宋"/>
                <w:szCs w:val="21"/>
              </w:rPr>
              <w:br w:type="textWrapping"/>
            </w:r>
            <w:r>
              <w:rPr>
                <w:rFonts w:hint="eastAsia" w:ascii="仿宋" w:hAnsi="仿宋" w:eastAsia="仿宋" w:cs="仿宋"/>
                <w:szCs w:val="21"/>
              </w:rPr>
              <w:t>- 用2层缠绕膜对设备进行保护</w:t>
            </w:r>
            <w:r>
              <w:rPr>
                <w:rFonts w:hint="eastAsia" w:ascii="仿宋" w:hAnsi="仿宋" w:eastAsia="仿宋" w:cs="仿宋"/>
                <w:szCs w:val="21"/>
              </w:rPr>
              <w:br w:type="textWrapping"/>
            </w:r>
            <w:r>
              <w:rPr>
                <w:rFonts w:hint="eastAsia" w:ascii="仿宋" w:hAnsi="仿宋" w:eastAsia="仿宋" w:cs="仿宋"/>
                <w:szCs w:val="21"/>
              </w:rPr>
              <w:t>- 用气垫膜包覆设备，并用胶带固定</w:t>
            </w:r>
            <w:r>
              <w:rPr>
                <w:rFonts w:hint="eastAsia" w:ascii="仿宋" w:hAnsi="仿宋" w:eastAsia="仿宋" w:cs="仿宋"/>
                <w:szCs w:val="21"/>
              </w:rPr>
              <w:br w:type="textWrapping"/>
            </w:r>
            <w:r>
              <w:rPr>
                <w:rFonts w:hint="eastAsia" w:ascii="仿宋" w:hAnsi="仿宋" w:eastAsia="仿宋" w:cs="仿宋"/>
                <w:szCs w:val="21"/>
              </w:rPr>
              <w:t>- 放入纸箱，用泡沫、塑绵进行填充</w:t>
            </w:r>
            <w:r>
              <w:rPr>
                <w:rFonts w:hint="eastAsia" w:ascii="仿宋" w:hAnsi="仿宋" w:eastAsia="仿宋" w:cs="仿宋"/>
                <w:szCs w:val="21"/>
              </w:rPr>
              <w:br w:type="textWrapping"/>
            </w:r>
            <w:r>
              <w:rPr>
                <w:rFonts w:hint="eastAsia" w:ascii="仿宋" w:hAnsi="仿宋" w:eastAsia="仿宋" w:cs="仿宋"/>
                <w:szCs w:val="21"/>
              </w:rPr>
              <w:t>2) 二类设备包装</w:t>
            </w:r>
            <w:r>
              <w:rPr>
                <w:rFonts w:hint="eastAsia" w:ascii="仿宋" w:hAnsi="仿宋" w:eastAsia="仿宋" w:cs="仿宋"/>
                <w:szCs w:val="21"/>
              </w:rPr>
              <w:br w:type="textWrapping"/>
            </w:r>
            <w:r>
              <w:rPr>
                <w:rFonts w:hint="eastAsia" w:ascii="仿宋" w:hAnsi="仿宋" w:eastAsia="仿宋" w:cs="仿宋"/>
                <w:szCs w:val="21"/>
              </w:rPr>
              <w:t>- 托盘尺寸视设备尺寸及作业现场通道宽窄而定；</w:t>
            </w:r>
            <w:r>
              <w:rPr>
                <w:rFonts w:hint="eastAsia" w:ascii="仿宋" w:hAnsi="仿宋" w:eastAsia="仿宋" w:cs="仿宋"/>
                <w:szCs w:val="21"/>
              </w:rPr>
              <w:br w:type="textWrapping"/>
            </w:r>
            <w:r>
              <w:rPr>
                <w:rFonts w:hint="eastAsia" w:ascii="仿宋" w:hAnsi="仿宋" w:eastAsia="仿宋" w:cs="仿宋"/>
                <w:szCs w:val="21"/>
              </w:rPr>
              <w:t>- 托盘上铺设1张厚度为4公分的EPE珍珠棉用于防震；</w:t>
            </w:r>
            <w:r>
              <w:rPr>
                <w:rFonts w:hint="eastAsia" w:ascii="仿宋" w:hAnsi="仿宋" w:eastAsia="仿宋" w:cs="仿宋"/>
                <w:szCs w:val="21"/>
              </w:rPr>
              <w:br w:type="textWrapping"/>
            </w:r>
            <w:r>
              <w:rPr>
                <w:rFonts w:hint="eastAsia" w:ascii="仿宋" w:hAnsi="仿宋" w:eastAsia="仿宋" w:cs="仿宋"/>
                <w:szCs w:val="21"/>
              </w:rPr>
              <w:t>- EPE珍珠棉上加覆1张厚度为2公分的木板；</w:t>
            </w:r>
            <w:r>
              <w:rPr>
                <w:rFonts w:hint="eastAsia" w:ascii="仿宋" w:hAnsi="仿宋" w:eastAsia="仿宋" w:cs="仿宋"/>
                <w:szCs w:val="21"/>
              </w:rPr>
              <w:br w:type="textWrapping"/>
            </w:r>
            <w:r>
              <w:rPr>
                <w:rFonts w:hint="eastAsia" w:ascii="仿宋" w:hAnsi="仿宋" w:eastAsia="仿宋" w:cs="仿宋"/>
                <w:szCs w:val="21"/>
              </w:rPr>
              <w:t>- 用2层缠绕膜对设备进行保护；</w:t>
            </w:r>
            <w:r>
              <w:rPr>
                <w:rFonts w:hint="eastAsia" w:ascii="仿宋" w:hAnsi="仿宋" w:eastAsia="仿宋" w:cs="仿宋"/>
                <w:szCs w:val="21"/>
              </w:rPr>
              <w:br w:type="textWrapping"/>
            </w:r>
            <w:r>
              <w:rPr>
                <w:rFonts w:hint="eastAsia" w:ascii="仿宋" w:hAnsi="仿宋" w:eastAsia="仿宋" w:cs="仿宋"/>
                <w:szCs w:val="21"/>
              </w:rPr>
              <w:t>- 用3层气垫膜包覆在设备外面，并用胶带固定；</w:t>
            </w:r>
            <w:r>
              <w:rPr>
                <w:rFonts w:hint="eastAsia" w:ascii="仿宋" w:hAnsi="仿宋" w:eastAsia="仿宋" w:cs="仿宋"/>
                <w:szCs w:val="21"/>
              </w:rPr>
              <w:br w:type="textWrapping"/>
            </w:r>
            <w:r>
              <w:rPr>
                <w:rFonts w:hint="eastAsia" w:ascii="仿宋" w:hAnsi="仿宋" w:eastAsia="仿宋" w:cs="仿宋"/>
                <w:szCs w:val="21"/>
              </w:rPr>
              <w:t>- 使用两根尼龙绑带（宽度为10公分）将设备固定在减震托盘上：</w:t>
            </w:r>
            <w:r>
              <w:rPr>
                <w:rFonts w:hint="eastAsia" w:ascii="仿宋" w:hAnsi="仿宋" w:eastAsia="仿宋" w:cs="仿宋"/>
                <w:szCs w:val="21"/>
              </w:rPr>
              <w:br w:type="textWrapping"/>
            </w:r>
            <w:r>
              <w:rPr>
                <w:rFonts w:hint="eastAsia" w:ascii="仿宋" w:hAnsi="仿宋" w:eastAsia="仿宋" w:cs="仿宋"/>
                <w:szCs w:val="21"/>
              </w:rPr>
              <w:t>- 用4层缠绕膜将设备和减震托盘固定为整体。</w:t>
            </w:r>
            <w:r>
              <w:rPr>
                <w:rFonts w:hint="eastAsia" w:ascii="仿宋" w:hAnsi="仿宋" w:eastAsia="仿宋" w:cs="仿宋"/>
                <w:szCs w:val="21"/>
              </w:rPr>
              <w:br w:type="textWrapping"/>
            </w:r>
            <w:r>
              <w:rPr>
                <w:rFonts w:hint="eastAsia" w:ascii="仿宋" w:hAnsi="仿宋" w:eastAsia="仿宋" w:cs="仿宋"/>
                <w:szCs w:val="21"/>
              </w:rPr>
              <w:t>3) 三类设备包装</w:t>
            </w:r>
            <w:r>
              <w:rPr>
                <w:rFonts w:hint="eastAsia" w:ascii="仿宋" w:hAnsi="仿宋" w:eastAsia="仿宋" w:cs="仿宋"/>
                <w:szCs w:val="21"/>
              </w:rPr>
              <w:br w:type="textWrapping"/>
            </w:r>
            <w:r>
              <w:rPr>
                <w:rFonts w:hint="eastAsia" w:ascii="仿宋" w:hAnsi="仿宋" w:eastAsia="仿宋" w:cs="仿宋"/>
                <w:szCs w:val="21"/>
              </w:rPr>
              <w:t>- 使用2层缠绕膜对仪器进行全面包裹；</w:t>
            </w:r>
            <w:r>
              <w:rPr>
                <w:rFonts w:hint="eastAsia" w:ascii="仿宋" w:hAnsi="仿宋" w:eastAsia="仿宋" w:cs="仿宋"/>
                <w:szCs w:val="21"/>
              </w:rPr>
              <w:br w:type="textWrapping"/>
            </w:r>
            <w:r>
              <w:rPr>
                <w:rFonts w:hint="eastAsia" w:ascii="仿宋" w:hAnsi="仿宋" w:eastAsia="仿宋" w:cs="仿宋"/>
                <w:szCs w:val="21"/>
              </w:rPr>
              <w:t>- 使用3层气垫膜在缠绕膜外部进行防震保护；</w:t>
            </w:r>
            <w:r>
              <w:rPr>
                <w:rFonts w:hint="eastAsia" w:ascii="仿宋" w:hAnsi="仿宋" w:eastAsia="仿宋" w:cs="仿宋"/>
                <w:szCs w:val="21"/>
              </w:rPr>
              <w:br w:type="textWrapping"/>
            </w:r>
            <w:r>
              <w:rPr>
                <w:rFonts w:hint="eastAsia" w:ascii="仿宋" w:hAnsi="仿宋" w:eastAsia="仿宋" w:cs="仿宋"/>
                <w:szCs w:val="21"/>
              </w:rPr>
              <w:t>- 用纸板覆盖在缠绕膜外面，并用胶带固定；</w:t>
            </w:r>
            <w:r>
              <w:rPr>
                <w:rFonts w:hint="eastAsia" w:ascii="仿宋" w:hAnsi="仿宋" w:eastAsia="仿宋" w:cs="仿宋"/>
                <w:szCs w:val="21"/>
              </w:rPr>
              <w:br w:type="textWrapping"/>
            </w:r>
            <w:r>
              <w:rPr>
                <w:rFonts w:hint="eastAsia" w:ascii="仿宋" w:hAnsi="仿宋" w:eastAsia="仿宋" w:cs="仿宋"/>
                <w:szCs w:val="21"/>
              </w:rPr>
              <w:t>- 仪器边角用机柜专用角条进行保护，防止撞击；</w:t>
            </w:r>
            <w:r>
              <w:rPr>
                <w:rFonts w:hint="eastAsia" w:ascii="仿宋" w:hAnsi="仿宋" w:eastAsia="仿宋" w:cs="仿宋"/>
                <w:szCs w:val="21"/>
              </w:rPr>
              <w:br w:type="textWrapping"/>
            </w:r>
            <w:r>
              <w:rPr>
                <w:rFonts w:hint="eastAsia" w:ascii="仿宋" w:hAnsi="仿宋" w:eastAsia="仿宋" w:cs="仿宋"/>
                <w:szCs w:val="21"/>
              </w:rPr>
              <w:t>- 将设备安置于木托盘，底脚固定；</w:t>
            </w:r>
            <w:r>
              <w:rPr>
                <w:rFonts w:hint="eastAsia" w:ascii="仿宋" w:hAnsi="仿宋" w:eastAsia="仿宋" w:cs="仿宋"/>
                <w:szCs w:val="21"/>
              </w:rPr>
              <w:br w:type="textWrapping"/>
            </w:r>
            <w:r>
              <w:rPr>
                <w:rFonts w:hint="eastAsia" w:ascii="仿宋" w:hAnsi="仿宋" w:eastAsia="仿宋" w:cs="仿宋"/>
                <w:szCs w:val="21"/>
              </w:rPr>
              <w:t>- 盖上箱体木板，空隙处用珍珠棉填充；</w:t>
            </w:r>
            <w:r>
              <w:rPr>
                <w:rFonts w:hint="eastAsia" w:ascii="仿宋" w:hAnsi="仿宋" w:eastAsia="仿宋" w:cs="仿宋"/>
                <w:szCs w:val="21"/>
              </w:rPr>
              <w:br w:type="textWrapping"/>
            </w:r>
            <w:r>
              <w:rPr>
                <w:rFonts w:hint="eastAsia" w:ascii="仿宋" w:hAnsi="仿宋" w:eastAsia="仿宋" w:cs="仿宋"/>
                <w:szCs w:val="21"/>
              </w:rPr>
              <w:t>- 装上木板后，用10公分锁绑带进行十字交叉。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4</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仪器装卸及运输</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提供新旧址场内专用运输工具；</w:t>
            </w:r>
            <w:r>
              <w:rPr>
                <w:rFonts w:hint="eastAsia" w:ascii="仿宋" w:hAnsi="仿宋" w:eastAsia="仿宋" w:cs="仿宋"/>
                <w:szCs w:val="21"/>
              </w:rPr>
              <w:br w:type="textWrapping"/>
            </w:r>
            <w:r>
              <w:rPr>
                <w:rFonts w:hint="eastAsia" w:ascii="仿宋" w:hAnsi="仿宋" w:eastAsia="仿宋" w:cs="仿宋"/>
                <w:szCs w:val="21"/>
              </w:rPr>
              <w:t>提供合理车辆配置方案，包括但不限于装货卸货车辆、吊装车辆、专用运输封闭货车；</w:t>
            </w:r>
            <w:r>
              <w:rPr>
                <w:rFonts w:hint="eastAsia" w:ascii="仿宋" w:hAnsi="仿宋" w:eastAsia="仿宋" w:cs="仿宋"/>
                <w:szCs w:val="21"/>
              </w:rPr>
              <w:br w:type="textWrapping"/>
            </w:r>
            <w:r>
              <w:rPr>
                <w:rFonts w:hint="eastAsia" w:ascii="仿宋" w:hAnsi="仿宋" w:eastAsia="仿宋" w:cs="仿宋"/>
                <w:szCs w:val="21"/>
              </w:rPr>
              <w:t>合理的运输路线，避免运输过程的颠簸与震动（使用气垫运输车进行运输，采用多层减震包装，包括EPE板，减震托盘）；</w:t>
            </w:r>
            <w:r>
              <w:rPr>
                <w:rFonts w:hint="eastAsia" w:ascii="仿宋" w:hAnsi="仿宋" w:eastAsia="仿宋" w:cs="仿宋"/>
                <w:szCs w:val="21"/>
              </w:rPr>
              <w:br w:type="textWrapping"/>
            </w:r>
            <w:r>
              <w:rPr>
                <w:rFonts w:hint="eastAsia" w:ascii="仿宋" w:hAnsi="仿宋" w:eastAsia="仿宋" w:cs="仿宋"/>
                <w:szCs w:val="21"/>
              </w:rPr>
              <w:t>根据仪器的新址就位位置一次性固定到位，如需二次就位则根据实际情况进行再次转运和就位。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5</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仪器搬迁保险</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为保障搬迁项目的顺利实施，为仪器及附属设备提供全面保障，由乙方购买针对本项目仪器运输的保险协议。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6</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仪器安装</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对本项目中所有精密仪器分类别，并对每个类别的精密仪器都有成熟的准备条件清单，</w:t>
            </w:r>
            <w:r>
              <w:rPr>
                <w:rFonts w:ascii="仿宋" w:hAnsi="仿宋" w:eastAsia="仿宋" w:cs="仿宋"/>
                <w:szCs w:val="21"/>
              </w:rPr>
              <w:t>具备</w:t>
            </w:r>
            <w:r>
              <w:rPr>
                <w:rFonts w:hint="eastAsia" w:ascii="仿宋" w:hAnsi="仿宋" w:eastAsia="仿宋" w:cs="仿宋"/>
                <w:szCs w:val="21"/>
              </w:rPr>
              <w:t>完备的安装说明书。所有设备就位安装完毕后，拆除新旧址各种保护，清理现场垃圾，带走全部保护材料。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14" w:type="dxa"/>
            <w:vMerge w:val="continue"/>
            <w:vAlign w:val="center"/>
          </w:tcPr>
          <w:p>
            <w:pPr>
              <w:jc w:val="center"/>
              <w:rPr>
                <w:rFonts w:ascii="仿宋" w:hAnsi="仿宋" w:eastAsia="仿宋" w:cs="仿宋"/>
                <w:szCs w:val="21"/>
                <w:u w:color="000000"/>
              </w:rPr>
            </w:pPr>
          </w:p>
        </w:tc>
        <w:tc>
          <w:tcPr>
            <w:tcW w:w="782" w:type="dxa"/>
            <w:vAlign w:val="center"/>
          </w:tcPr>
          <w:p>
            <w:pPr>
              <w:jc w:val="center"/>
              <w:rPr>
                <w:rFonts w:ascii="仿宋" w:hAnsi="仿宋" w:eastAsia="仿宋" w:cs="仿宋"/>
                <w:szCs w:val="21"/>
                <w:u w:color="000000"/>
              </w:rPr>
            </w:pPr>
            <w:r>
              <w:rPr>
                <w:rFonts w:hint="eastAsia" w:ascii="仿宋" w:hAnsi="仿宋" w:eastAsia="仿宋" w:cs="仿宋"/>
                <w:szCs w:val="21"/>
                <w:u w:color="000000"/>
              </w:rPr>
              <w:t>7</w:t>
            </w:r>
          </w:p>
        </w:tc>
        <w:tc>
          <w:tcPr>
            <w:tcW w:w="2043" w:type="dxa"/>
            <w:vAlign w:val="center"/>
          </w:tcPr>
          <w:p>
            <w:pPr>
              <w:jc w:val="left"/>
              <w:rPr>
                <w:rFonts w:ascii="仿宋" w:hAnsi="仿宋" w:eastAsia="仿宋" w:cs="仿宋"/>
                <w:szCs w:val="21"/>
                <w:u w:color="000000"/>
              </w:rPr>
            </w:pPr>
            <w:r>
              <w:rPr>
                <w:rFonts w:hint="eastAsia" w:ascii="仿宋" w:hAnsi="仿宋" w:eastAsia="仿宋" w:cs="仿宋"/>
                <w:szCs w:val="21"/>
                <w:u w:color="000000"/>
              </w:rPr>
              <w:t>仪器调试</w:t>
            </w:r>
          </w:p>
        </w:tc>
        <w:tc>
          <w:tcPr>
            <w:tcW w:w="6051" w:type="dxa"/>
            <w:vAlign w:val="center"/>
          </w:tcPr>
          <w:p>
            <w:pPr>
              <w:spacing w:line="240" w:lineRule="auto"/>
              <w:jc w:val="left"/>
              <w:rPr>
                <w:rFonts w:ascii="仿宋" w:hAnsi="仿宋" w:eastAsia="仿宋" w:cs="仿宋"/>
                <w:szCs w:val="21"/>
                <w:u w:color="000000"/>
              </w:rPr>
            </w:pPr>
            <w:r>
              <w:rPr>
                <w:rFonts w:hint="eastAsia" w:ascii="仿宋" w:hAnsi="仿宋" w:eastAsia="仿宋" w:cs="仿宋"/>
                <w:szCs w:val="21"/>
              </w:rPr>
              <w:t>多品牌服务工程师或仪器原厂工程师来提供如下搬迁后的服务：提供仪器调谐所用标品，在整个安装调试过程中将根据专业仪器分类按照不同的注意事项和要求对所有仪器进行安装调试，这些安装调试主要指对仪器的准确度、重复性、定性、定量重复性和调谐进行调试，并保证将仪器调试至待机状态为准。如经调谐无法达到搬迁前性能，需服务方免费维修或者更换新机，保证搬迁后仪器性能状态不低于搬迁前性能。同时将所有的搬迁文档整理并移交给业主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990" w:type="dxa"/>
            <w:gridSpan w:val="4"/>
            <w:vAlign w:val="center"/>
          </w:tcPr>
          <w:p>
            <w:pPr>
              <w:jc w:val="right"/>
              <w:rPr>
                <w:rFonts w:ascii="仿宋" w:hAnsi="仿宋" w:eastAsia="仿宋" w:cs="仿宋"/>
                <w:b/>
                <w:szCs w:val="21"/>
                <w:u w:color="000000"/>
              </w:rPr>
            </w:pPr>
            <w:r>
              <w:rPr>
                <w:rFonts w:hint="eastAsia" w:ascii="仿宋" w:hAnsi="仿宋" w:eastAsia="仿宋" w:cs="仿宋"/>
                <w:b/>
                <w:szCs w:val="21"/>
                <w:u w:color="000000"/>
              </w:rPr>
              <w:t>小计</w:t>
            </w:r>
          </w:p>
        </w:tc>
      </w:tr>
    </w:tbl>
    <w:p>
      <w:pPr>
        <w:spacing w:line="240" w:lineRule="auto"/>
        <w:rPr>
          <w:rFonts w:ascii="仿宋" w:hAnsi="仿宋" w:eastAsia="仿宋" w:cs="仿宋"/>
          <w:szCs w:val="21"/>
        </w:rPr>
      </w:pPr>
    </w:p>
    <w:p>
      <w:pPr>
        <w:pStyle w:val="4"/>
        <w:jc w:val="left"/>
        <w:rPr>
          <w:rFonts w:ascii="仿宋" w:hAnsi="仿宋" w:eastAsia="仿宋" w:cs="仿宋"/>
          <w:sz w:val="21"/>
          <w:szCs w:val="21"/>
        </w:rPr>
      </w:pPr>
      <w:bookmarkStart w:id="39" w:name="_Toc10487"/>
      <w:r>
        <w:rPr>
          <w:rFonts w:hint="eastAsia" w:ascii="仿宋" w:hAnsi="仿宋" w:eastAsia="仿宋" w:cs="仿宋"/>
          <w:sz w:val="21"/>
          <w:szCs w:val="21"/>
        </w:rPr>
        <w:t>二、付款条件</w:t>
      </w:r>
      <w:bookmarkEnd w:id="39"/>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付款方式：签订合同后10个工作日内，乙方向甲方支付履约保证金或保函，本项目履约保证金为合同总价的5%，。所有设备正常运行一年后，甲方无息退还乙方履约保证金。</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签订合同生效后，10个工作日内甲方支付乙方合同款的电子探针搬迁项目款项35%，电子探针显微分析仪搬迁至实验室并且能够正常使用后支付项目款项的65%。</w:t>
      </w:r>
    </w:p>
    <w:p>
      <w:pPr>
        <w:spacing w:line="360" w:lineRule="auto"/>
        <w:ind w:firstLine="420" w:firstLineChars="200"/>
        <w:jc w:val="left"/>
        <w:rPr>
          <w:rFonts w:ascii="仿宋" w:hAnsi="仿宋" w:eastAsia="仿宋" w:cs="仿宋"/>
          <w:szCs w:val="21"/>
        </w:rPr>
      </w:pPr>
    </w:p>
    <w:p>
      <w:pPr>
        <w:spacing w:line="360" w:lineRule="auto"/>
        <w:ind w:firstLine="420" w:firstLineChars="200"/>
        <w:jc w:val="left"/>
        <w:rPr>
          <w:rFonts w:ascii="仿宋" w:hAnsi="仿宋" w:eastAsia="仿宋" w:cs="仿宋"/>
          <w:color w:val="0000FF"/>
          <w:szCs w:val="21"/>
          <w:highlight w:val="yellow"/>
        </w:rPr>
      </w:pPr>
    </w:p>
    <w:p>
      <w:pPr>
        <w:spacing w:line="360" w:lineRule="auto"/>
        <w:jc w:val="left"/>
        <w:rPr>
          <w:rFonts w:ascii="仿宋" w:hAnsi="仿宋" w:eastAsia="仿宋" w:cs="仿宋"/>
          <w:b/>
          <w:bCs/>
          <w:szCs w:val="21"/>
        </w:rPr>
      </w:pPr>
      <w:r>
        <w:rPr>
          <w:rFonts w:hint="eastAsia" w:ascii="仿宋" w:hAnsi="仿宋" w:eastAsia="仿宋" w:cs="仿宋"/>
          <w:b/>
          <w:bCs/>
          <w:szCs w:val="21"/>
        </w:rPr>
        <w:t>三、安装调试及技术服务（含培训）要求</w:t>
      </w:r>
    </w:p>
    <w:p>
      <w:pPr>
        <w:spacing w:line="360" w:lineRule="auto"/>
        <w:ind w:firstLine="420" w:firstLineChars="200"/>
        <w:jc w:val="left"/>
        <w:rPr>
          <w:rFonts w:ascii="仿宋" w:hAnsi="仿宋" w:eastAsia="仿宋" w:cs="仿宋"/>
          <w:bCs/>
          <w:szCs w:val="21"/>
        </w:rPr>
      </w:pPr>
      <w:r>
        <w:rPr>
          <w:rFonts w:hint="eastAsia" w:ascii="仿宋" w:hAnsi="仿宋" w:eastAsia="仿宋" w:cs="仿宋"/>
          <w:szCs w:val="21"/>
        </w:rPr>
        <w:t>电子探针显微分析仪安装调试要求，在仪器到达指定实验室后，指派</w:t>
      </w:r>
      <w:r>
        <w:rPr>
          <w:rFonts w:hint="eastAsia" w:ascii="仿宋" w:hAnsi="仿宋" w:eastAsia="仿宋" w:cs="仿宋"/>
          <w:bCs/>
          <w:szCs w:val="21"/>
        </w:rPr>
        <w:t>仪器原有出产厂商的品牌工程师</w:t>
      </w:r>
      <w:r>
        <w:rPr>
          <w:rFonts w:hint="eastAsia" w:ascii="仿宋" w:hAnsi="仿宋" w:eastAsia="仿宋" w:cs="仿宋"/>
          <w:szCs w:val="21"/>
        </w:rPr>
        <w:t>进行安装，并提供技术服务即培训指导2次。</w:t>
      </w:r>
    </w:p>
    <w:p>
      <w:pPr>
        <w:spacing w:line="360" w:lineRule="auto"/>
        <w:jc w:val="left"/>
        <w:rPr>
          <w:rFonts w:ascii="仿宋" w:hAnsi="仿宋" w:eastAsia="仿宋" w:cs="仿宋"/>
          <w:b/>
          <w:bCs/>
          <w:szCs w:val="21"/>
        </w:rPr>
      </w:pPr>
      <w:r>
        <w:rPr>
          <w:rFonts w:hint="eastAsia" w:ascii="仿宋" w:hAnsi="仿宋" w:eastAsia="仿宋" w:cs="仿宋"/>
          <w:b/>
          <w:bCs/>
          <w:szCs w:val="21"/>
        </w:rPr>
        <w:t>四、售后服务要求</w:t>
      </w:r>
    </w:p>
    <w:p>
      <w:pPr>
        <w:spacing w:line="360" w:lineRule="auto"/>
        <w:ind w:firstLine="420" w:firstLineChars="200"/>
        <w:jc w:val="left"/>
        <w:rPr>
          <w:rFonts w:ascii="仿宋" w:hAnsi="仿宋" w:eastAsia="仿宋" w:cs="仿宋"/>
          <w:b/>
          <w:bCs/>
          <w:szCs w:val="21"/>
        </w:rPr>
      </w:pPr>
      <w:r>
        <w:rPr>
          <w:rFonts w:hint="eastAsia" w:ascii="仿宋" w:hAnsi="仿宋" w:eastAsia="仿宋" w:cs="仿宋"/>
          <w:szCs w:val="21"/>
        </w:rPr>
        <w:t>电子探针显微分析仪搬迁后六个月内，因搬迁过程产生的问题需要提供维护和维修的售后服务。</w:t>
      </w:r>
    </w:p>
    <w:p>
      <w:pPr>
        <w:spacing w:line="360" w:lineRule="auto"/>
        <w:jc w:val="left"/>
        <w:rPr>
          <w:rFonts w:ascii="仿宋" w:hAnsi="仿宋" w:eastAsia="仿宋" w:cs="仿宋"/>
          <w:b/>
          <w:bCs/>
          <w:szCs w:val="21"/>
        </w:rPr>
      </w:pPr>
      <w:r>
        <w:rPr>
          <w:rFonts w:hint="eastAsia" w:ascii="仿宋" w:hAnsi="仿宋" w:eastAsia="仿宋" w:cs="仿宋"/>
          <w:b/>
          <w:bCs/>
          <w:szCs w:val="21"/>
        </w:rPr>
        <w:t>五、验收标准和方法</w:t>
      </w:r>
    </w:p>
    <w:p>
      <w:pPr>
        <w:spacing w:line="360" w:lineRule="auto"/>
        <w:ind w:firstLine="420" w:firstLineChars="200"/>
        <w:jc w:val="left"/>
        <w:rPr>
          <w:rFonts w:ascii="仿宋" w:hAnsi="仿宋" w:eastAsia="仿宋" w:cs="仿宋"/>
          <w:bCs/>
          <w:szCs w:val="21"/>
        </w:rPr>
      </w:pPr>
      <w:r>
        <w:rPr>
          <w:rFonts w:hint="eastAsia" w:ascii="仿宋" w:hAnsi="仿宋" w:eastAsia="仿宋" w:cs="仿宋"/>
          <w:szCs w:val="21"/>
        </w:rPr>
        <w:t>电子探针显微分析仪及其配套设备搬迁至指定实验室，并且能够完成学生4机时的测试（不含开关机时间）</w:t>
      </w:r>
      <w:r>
        <w:rPr>
          <w:rFonts w:hint="eastAsia" w:ascii="仿宋" w:hAnsi="仿宋" w:eastAsia="仿宋" w:cs="仿宋"/>
          <w:bCs/>
          <w:szCs w:val="21"/>
        </w:rPr>
        <w:t>，即可达到验收标准。</w:t>
      </w:r>
      <w:r>
        <w:rPr>
          <w:rFonts w:hint="eastAsia" w:ascii="仿宋" w:hAnsi="仿宋" w:eastAsia="仿宋" w:cs="仿宋"/>
          <w:szCs w:val="21"/>
        </w:rPr>
        <w:t>验收由校内3位以上专家共同评审。</w:t>
      </w:r>
    </w:p>
    <w:p>
      <w:pPr>
        <w:spacing w:line="360" w:lineRule="auto"/>
        <w:jc w:val="left"/>
        <w:rPr>
          <w:rFonts w:ascii="仿宋" w:hAnsi="仿宋" w:eastAsia="仿宋" w:cs="仿宋"/>
          <w:b/>
          <w:bCs/>
          <w:szCs w:val="21"/>
        </w:rPr>
      </w:pPr>
      <w:r>
        <w:rPr>
          <w:rFonts w:hint="eastAsia" w:ascii="仿宋" w:hAnsi="仿宋" w:eastAsia="仿宋" w:cs="仿宋"/>
          <w:b/>
          <w:bCs/>
          <w:szCs w:val="21"/>
        </w:rPr>
        <w:t>六、维保条款</w:t>
      </w:r>
    </w:p>
    <w:p>
      <w:pPr>
        <w:spacing w:line="360" w:lineRule="auto"/>
        <w:jc w:val="left"/>
        <w:rPr>
          <w:rFonts w:ascii="仿宋" w:hAnsi="仿宋" w:eastAsia="仿宋" w:cs="仿宋"/>
          <w:szCs w:val="21"/>
        </w:rPr>
      </w:pPr>
      <w:r>
        <w:rPr>
          <w:rFonts w:hint="eastAsia" w:ascii="仿宋" w:hAnsi="仿宋" w:eastAsia="仿宋" w:cs="仿宋"/>
          <w:bCs/>
          <w:szCs w:val="21"/>
        </w:rPr>
        <w:t>在维保期内，</w:t>
      </w:r>
      <w:r>
        <w:rPr>
          <w:rFonts w:hint="eastAsia" w:ascii="仿宋" w:hAnsi="仿宋" w:eastAsia="仿宋" w:cs="仿宋"/>
          <w:szCs w:val="21"/>
        </w:rPr>
        <w:t>非甲方或第三方原因，乙方搬迁、安装、调试的仪器设备出现故障或存在缺陷，乙方应负责更换维修。</w:t>
      </w:r>
    </w:p>
    <w:p>
      <w:pPr>
        <w:pStyle w:val="184"/>
        <w:widowControl/>
        <w:spacing w:line="360" w:lineRule="auto"/>
        <w:ind w:left="0"/>
        <w:jc w:val="left"/>
        <w:rPr>
          <w:rFonts w:ascii="仿宋" w:hAnsi="仿宋" w:eastAsia="仿宋" w:cs="仿宋"/>
          <w:b/>
          <w:szCs w:val="21"/>
        </w:rPr>
      </w:pPr>
      <w:r>
        <w:rPr>
          <w:rFonts w:hint="eastAsia" w:ascii="仿宋" w:hAnsi="仿宋" w:eastAsia="仿宋" w:cs="仿宋"/>
          <w:b/>
          <w:szCs w:val="21"/>
        </w:rPr>
        <w:t>七、其他：</w:t>
      </w:r>
    </w:p>
    <w:p>
      <w:pPr>
        <w:widowControl/>
        <w:spacing w:line="360" w:lineRule="auto"/>
        <w:jc w:val="left"/>
        <w:rPr>
          <w:rFonts w:ascii="仿宋" w:hAnsi="仿宋" w:eastAsia="仿宋" w:cs="仿宋"/>
          <w:szCs w:val="21"/>
        </w:rPr>
      </w:pPr>
      <w:r>
        <w:rPr>
          <w:rFonts w:hint="eastAsia" w:ascii="仿宋" w:hAnsi="仿宋" w:eastAsia="仿宋" w:cs="仿宋"/>
          <w:szCs w:val="21"/>
        </w:rPr>
        <w:t>乙方负责清单所列仪器实验室进行搬迁，包括搬迁前准备工作、搬迁前调试及拆机、搬运及搬迁后安装和调试四部分。</w:t>
      </w:r>
    </w:p>
    <w:p>
      <w:pPr>
        <w:widowControl/>
        <w:spacing w:line="360" w:lineRule="auto"/>
        <w:jc w:val="left"/>
        <w:rPr>
          <w:rFonts w:ascii="仿宋" w:hAnsi="仿宋" w:eastAsia="仿宋" w:cs="仿宋"/>
          <w:b/>
          <w:bCs/>
          <w:szCs w:val="21"/>
        </w:rPr>
      </w:pPr>
      <w:r>
        <w:rPr>
          <w:rFonts w:hint="eastAsia" w:ascii="仿宋" w:hAnsi="仿宋" w:eastAsia="仿宋" w:cs="仿宋"/>
          <w:szCs w:val="21"/>
        </w:rPr>
        <w:t>1）第一部分搬迁前准备工作：乙方在搬迁前将附件一所列的仪器进行性能检查，检查仪器外观并记录仪器主要性能指标，</w:t>
      </w:r>
      <w:r>
        <w:rPr>
          <w:rFonts w:hint="eastAsia" w:ascii="仿宋" w:hAnsi="仿宋" w:eastAsia="仿宋" w:cs="仿宋"/>
          <w:bCs/>
          <w:szCs w:val="21"/>
        </w:rPr>
        <w:t>检修列出运行状态清单，如有问题待搬迁到位后甲方另行安排维修。</w:t>
      </w:r>
    </w:p>
    <w:p>
      <w:pPr>
        <w:widowControl/>
        <w:spacing w:line="360" w:lineRule="auto"/>
        <w:jc w:val="left"/>
        <w:rPr>
          <w:rFonts w:ascii="仿宋" w:hAnsi="仿宋" w:eastAsia="仿宋" w:cs="仿宋"/>
          <w:bCs/>
          <w:szCs w:val="21"/>
        </w:rPr>
      </w:pPr>
      <w:r>
        <w:rPr>
          <w:rFonts w:hint="eastAsia" w:ascii="仿宋" w:hAnsi="仿宋" w:eastAsia="仿宋" w:cs="仿宋"/>
          <w:szCs w:val="21"/>
        </w:rPr>
        <w:t>3）第二部分搬迁前调试及拆机：乙方</w:t>
      </w:r>
      <w:r>
        <w:rPr>
          <w:rFonts w:hint="eastAsia" w:ascii="仿宋" w:hAnsi="仿宋" w:eastAsia="仿宋" w:cs="仿宋"/>
          <w:bCs/>
          <w:szCs w:val="21"/>
        </w:rPr>
        <w:t>负责</w:t>
      </w:r>
      <w:r>
        <w:rPr>
          <w:rFonts w:hint="eastAsia" w:ascii="仿宋" w:hAnsi="仿宋" w:eastAsia="仿宋" w:cs="仿宋"/>
          <w:szCs w:val="21"/>
        </w:rPr>
        <w:t>仪器搬迁前调试、拆卸及安全包装。搬迁前调试所用的标准品及试剂由乙方准备。包</w:t>
      </w:r>
      <w:r>
        <w:rPr>
          <w:rFonts w:hint="eastAsia" w:ascii="仿宋" w:hAnsi="仿宋" w:eastAsia="仿宋" w:cs="仿宋"/>
          <w:bCs/>
          <w:szCs w:val="21"/>
        </w:rPr>
        <w:t>装材料由乙方准备</w:t>
      </w:r>
      <w:r>
        <w:rPr>
          <w:rFonts w:hint="eastAsia" w:ascii="仿宋" w:hAnsi="仿宋" w:eastAsia="仿宋" w:cs="仿宋"/>
          <w:szCs w:val="21"/>
        </w:rPr>
        <w:t>，最</w:t>
      </w:r>
      <w:r>
        <w:rPr>
          <w:rFonts w:hint="eastAsia" w:ascii="仿宋" w:hAnsi="仿宋" w:eastAsia="仿宋" w:cs="仿宋"/>
          <w:bCs/>
          <w:szCs w:val="21"/>
        </w:rPr>
        <w:t>好使用原始材料</w:t>
      </w:r>
      <w:r>
        <w:rPr>
          <w:rFonts w:hint="eastAsia" w:ascii="仿宋" w:hAnsi="仿宋" w:eastAsia="仿宋" w:cs="仿宋"/>
          <w:szCs w:val="21"/>
        </w:rPr>
        <w:t>。</w:t>
      </w:r>
      <w:r>
        <w:rPr>
          <w:rFonts w:hint="eastAsia" w:ascii="仿宋" w:hAnsi="仿宋" w:eastAsia="仿宋" w:cs="仿宋"/>
          <w:bCs/>
          <w:szCs w:val="21"/>
        </w:rPr>
        <w:t xml:space="preserve"> </w:t>
      </w:r>
    </w:p>
    <w:p>
      <w:pPr>
        <w:widowControl/>
        <w:spacing w:line="360" w:lineRule="auto"/>
        <w:jc w:val="left"/>
        <w:rPr>
          <w:rFonts w:ascii="仿宋" w:hAnsi="仿宋" w:eastAsia="仿宋" w:cs="仿宋"/>
          <w:szCs w:val="21"/>
        </w:rPr>
      </w:pPr>
      <w:r>
        <w:rPr>
          <w:rFonts w:hint="eastAsia" w:ascii="仿宋" w:hAnsi="仿宋" w:eastAsia="仿宋" w:cs="仿宋"/>
          <w:szCs w:val="21"/>
        </w:rPr>
        <w:t>4）第三部分搬运：乙方负责将包装妥当的仪器运至目的地，确保仪器运输安全。</w:t>
      </w:r>
    </w:p>
    <w:p>
      <w:pPr>
        <w:widowControl/>
        <w:spacing w:line="360" w:lineRule="auto"/>
        <w:jc w:val="left"/>
        <w:rPr>
          <w:rFonts w:ascii="仿宋" w:hAnsi="仿宋" w:eastAsia="仿宋" w:cs="仿宋"/>
          <w:szCs w:val="21"/>
        </w:rPr>
      </w:pPr>
      <w:r>
        <w:rPr>
          <w:rFonts w:hint="eastAsia" w:ascii="仿宋" w:hAnsi="仿宋" w:eastAsia="仿宋" w:cs="仿宋"/>
          <w:szCs w:val="21"/>
        </w:rPr>
        <w:t>5）第四部分安装调试：仪器运达甲方指定实验室后，乙方负责对仪器及附件进行安装和调试。</w:t>
      </w:r>
    </w:p>
    <w:p>
      <w:pPr>
        <w:spacing w:line="360" w:lineRule="auto"/>
        <w:jc w:val="left"/>
        <w:rPr>
          <w:rFonts w:ascii="仿宋" w:hAnsi="仿宋" w:eastAsia="仿宋" w:cs="仿宋"/>
          <w:szCs w:val="21"/>
        </w:rPr>
      </w:pPr>
    </w:p>
    <w:bookmarkEnd w:id="37"/>
    <w:bookmarkEnd w:id="38"/>
    <w:p>
      <w:pPr>
        <w:pStyle w:val="3"/>
        <w:keepNext w:val="0"/>
        <w:keepLines w:val="0"/>
        <w:spacing w:before="0" w:after="0" w:line="360" w:lineRule="auto"/>
        <w:rPr>
          <w:rFonts w:ascii="仿宋" w:hAnsi="仿宋" w:eastAsia="仿宋" w:cs="仿宋"/>
          <w:bCs/>
          <w:kern w:val="2"/>
          <w:sz w:val="30"/>
          <w:szCs w:val="30"/>
        </w:rPr>
      </w:pPr>
      <w:bookmarkStart w:id="40" w:name="_Toc380479151"/>
      <w:r>
        <w:rPr>
          <w:rFonts w:hint="eastAsia" w:ascii="仿宋" w:hAnsi="仿宋" w:eastAsia="仿宋" w:cs="仿宋"/>
          <w:bCs/>
          <w:kern w:val="2"/>
          <w:sz w:val="30"/>
          <w:szCs w:val="30"/>
        </w:rPr>
        <w:t>第四章  附  件</w:t>
      </w:r>
      <w:bookmarkEnd w:id="40"/>
    </w:p>
    <w:p>
      <w:pPr>
        <w:spacing w:line="360" w:lineRule="auto"/>
        <w:jc w:val="center"/>
        <w:rPr>
          <w:rFonts w:ascii="仿宋" w:hAnsi="仿宋" w:eastAsia="仿宋" w:cs="仿宋"/>
          <w:b/>
          <w:bCs/>
          <w:szCs w:val="21"/>
        </w:rPr>
      </w:pPr>
      <w:r>
        <w:rPr>
          <w:rFonts w:hint="eastAsia" w:ascii="仿宋" w:hAnsi="仿宋" w:eastAsia="仿宋" w:cs="仿宋"/>
          <w:b/>
          <w:szCs w:val="21"/>
        </w:rPr>
        <w:t>（谈判响应文件格式）</w:t>
      </w:r>
    </w:p>
    <w:p>
      <w:pPr>
        <w:spacing w:line="360" w:lineRule="auto"/>
        <w:rPr>
          <w:rFonts w:ascii="仿宋" w:hAnsi="仿宋" w:eastAsia="仿宋" w:cs="仿宋"/>
          <w:b/>
          <w:szCs w:val="21"/>
        </w:rPr>
      </w:pPr>
      <w:r>
        <w:rPr>
          <w:rFonts w:hint="eastAsia" w:ascii="仿宋" w:hAnsi="仿宋" w:eastAsia="仿宋" w:cs="仿宋"/>
          <w:b/>
          <w:szCs w:val="21"/>
        </w:rPr>
        <w:t>附件一：</w:t>
      </w:r>
    </w:p>
    <w:p>
      <w:pPr>
        <w:snapToGrid w:val="0"/>
        <w:spacing w:line="360" w:lineRule="auto"/>
        <w:jc w:val="center"/>
        <w:rPr>
          <w:rFonts w:ascii="仿宋" w:hAnsi="仿宋" w:eastAsia="仿宋" w:cs="仿宋"/>
          <w:szCs w:val="21"/>
        </w:rPr>
      </w:pPr>
      <w:r>
        <w:rPr>
          <w:rFonts w:hint="eastAsia" w:ascii="仿宋" w:hAnsi="仿宋" w:eastAsia="仿宋" w:cs="仿宋"/>
          <w:szCs w:val="21"/>
        </w:rPr>
        <w:t>报价函</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致：防灾科技学院</w:t>
      </w:r>
    </w:p>
    <w:p>
      <w:pPr>
        <w:snapToGrid w:val="0"/>
        <w:spacing w:line="360" w:lineRule="auto"/>
        <w:ind w:firstLine="552"/>
        <w:rPr>
          <w:rFonts w:ascii="仿宋" w:hAnsi="仿宋" w:eastAsia="仿宋" w:cs="仿宋"/>
          <w:szCs w:val="21"/>
        </w:rPr>
      </w:pPr>
      <w:r>
        <w:rPr>
          <w:rFonts w:hint="eastAsia" w:ascii="仿宋" w:hAnsi="仿宋" w:eastAsia="仿宋" w:cs="仿宋"/>
          <w:spacing w:val="6"/>
          <w:szCs w:val="21"/>
        </w:rPr>
        <w:t>在审阅了</w:t>
      </w:r>
      <w:r>
        <w:rPr>
          <w:rFonts w:hint="eastAsia" w:ascii="仿宋" w:hAnsi="仿宋" w:eastAsia="仿宋" w:cs="仿宋"/>
          <w:spacing w:val="6"/>
          <w:szCs w:val="21"/>
          <w:u w:val="single"/>
        </w:rPr>
        <w:t xml:space="preserve">    （项目名称）    </w:t>
      </w:r>
      <w:r>
        <w:rPr>
          <w:rFonts w:hint="eastAsia" w:ascii="仿宋" w:hAnsi="仿宋" w:eastAsia="仿宋" w:cs="仿宋"/>
          <w:spacing w:val="6"/>
          <w:szCs w:val="21"/>
        </w:rPr>
        <w:t>谈判文件（项目编号：</w:t>
      </w:r>
      <w:r>
        <w:rPr>
          <w:rFonts w:hint="eastAsia" w:ascii="仿宋" w:hAnsi="仿宋" w:eastAsia="仿宋" w:cs="仿宋"/>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spacing w:val="20"/>
          <w:szCs w:val="21"/>
        </w:rPr>
        <w:t>，我方下述签字人将按照</w:t>
      </w:r>
      <w:r>
        <w:rPr>
          <w:rFonts w:hint="eastAsia" w:ascii="仿宋" w:hAnsi="仿宋" w:eastAsia="仿宋" w:cs="仿宋"/>
          <w:b/>
          <w:spacing w:val="20"/>
          <w:szCs w:val="21"/>
        </w:rPr>
        <w:t>谈判文件</w:t>
      </w:r>
      <w:r>
        <w:rPr>
          <w:rFonts w:hint="eastAsia" w:ascii="仿宋" w:hAnsi="仿宋" w:eastAsia="仿宋" w:cs="仿宋"/>
          <w:spacing w:val="20"/>
          <w:szCs w:val="21"/>
        </w:rPr>
        <w:t>的规定提供总价</w:t>
      </w:r>
      <w:r>
        <w:rPr>
          <w:rFonts w:hint="eastAsia" w:ascii="仿宋" w:hAnsi="仿宋" w:eastAsia="仿宋" w:cs="仿宋"/>
          <w:szCs w:val="21"/>
        </w:rPr>
        <w:t>为</w:t>
      </w:r>
      <w:r>
        <w:rPr>
          <w:rFonts w:hint="eastAsia" w:ascii="仿宋" w:hAnsi="仿宋" w:eastAsia="仿宋" w:cs="仿宋"/>
          <w:szCs w:val="21"/>
          <w:u w:val="single"/>
        </w:rPr>
        <w:t xml:space="preserve">              （用文字和数字表示的总价）</w:t>
      </w:r>
      <w:r>
        <w:rPr>
          <w:rFonts w:hint="eastAsia" w:ascii="仿宋" w:hAnsi="仿宋" w:eastAsia="仿宋" w:cs="仿宋"/>
          <w:szCs w:val="21"/>
        </w:rPr>
        <w:t>的服务，其中由小型和微型企业提供服务的价格为</w:t>
      </w:r>
      <w:r>
        <w:rPr>
          <w:rFonts w:hint="eastAsia" w:ascii="仿宋" w:hAnsi="仿宋" w:eastAsia="仿宋" w:cs="仿宋"/>
          <w:szCs w:val="21"/>
          <w:u w:val="single"/>
        </w:rPr>
        <w:t xml:space="preserve">      （用文字和数字表示）</w:t>
      </w:r>
      <w:r>
        <w:rPr>
          <w:rFonts w:hint="eastAsia" w:ascii="仿宋" w:hAnsi="仿宋" w:eastAsia="仿宋" w:cs="仿宋"/>
          <w:szCs w:val="21"/>
        </w:rPr>
        <w:t>，占总价的</w:t>
      </w:r>
      <w:r>
        <w:rPr>
          <w:rFonts w:hint="eastAsia" w:ascii="仿宋" w:hAnsi="仿宋" w:eastAsia="仿宋" w:cs="仿宋"/>
          <w:szCs w:val="21"/>
          <w:u w:val="single"/>
        </w:rPr>
        <w:t xml:space="preserve">   %</w:t>
      </w:r>
      <w:r>
        <w:rPr>
          <w:rFonts w:hint="eastAsia" w:ascii="仿宋" w:hAnsi="仿宋" w:eastAsia="仿宋" w:cs="仿宋"/>
          <w:szCs w:val="21"/>
        </w:rPr>
        <w:t>。并作出如下承诺：</w:t>
      </w:r>
    </w:p>
    <w:p>
      <w:pPr>
        <w:snapToGrid w:val="0"/>
        <w:spacing w:line="360" w:lineRule="auto"/>
        <w:ind w:firstLine="552"/>
        <w:rPr>
          <w:rFonts w:ascii="仿宋" w:hAnsi="仿宋" w:eastAsia="仿宋" w:cs="仿宋"/>
          <w:szCs w:val="21"/>
        </w:rPr>
      </w:pPr>
      <w:r>
        <w:rPr>
          <w:rFonts w:hint="eastAsia" w:ascii="仿宋" w:hAnsi="仿宋" w:eastAsia="仿宋" w:cs="仿宋"/>
          <w:szCs w:val="21"/>
        </w:rPr>
        <w:t>1、如果我们被确定为成交供应商，我们将按照谈判后双方确认的合同条款的要求执行。</w:t>
      </w:r>
    </w:p>
    <w:p>
      <w:pPr>
        <w:snapToGrid w:val="0"/>
        <w:spacing w:line="360" w:lineRule="auto"/>
        <w:ind w:firstLine="552"/>
        <w:rPr>
          <w:rFonts w:ascii="仿宋" w:hAnsi="仿宋" w:eastAsia="仿宋" w:cs="仿宋"/>
          <w:szCs w:val="21"/>
        </w:rPr>
      </w:pPr>
      <w:r>
        <w:rPr>
          <w:rFonts w:hint="eastAsia" w:ascii="仿宋" w:hAnsi="仿宋" w:eastAsia="仿宋" w:cs="仿宋"/>
          <w:szCs w:val="21"/>
        </w:rPr>
        <w:t>2、我方保证忠实地执行买、卖双方所签的合同，并承担合同规定的责任和义务。</w:t>
      </w:r>
    </w:p>
    <w:p>
      <w:pPr>
        <w:snapToGrid w:val="0"/>
        <w:spacing w:line="360" w:lineRule="auto"/>
        <w:ind w:firstLine="552"/>
        <w:rPr>
          <w:rFonts w:ascii="仿宋" w:hAnsi="仿宋" w:eastAsia="仿宋" w:cs="仿宋"/>
          <w:szCs w:val="21"/>
        </w:rPr>
      </w:pPr>
      <w:r>
        <w:rPr>
          <w:rFonts w:hint="eastAsia" w:ascii="仿宋" w:hAnsi="仿宋" w:eastAsia="仿宋" w:cs="仿宋"/>
          <w:szCs w:val="21"/>
        </w:rPr>
        <w:t>3、我方愿意向贵方提供任何与此报价有关的数据、情况和技术资料。</w:t>
      </w:r>
    </w:p>
    <w:p>
      <w:pPr>
        <w:snapToGrid w:val="0"/>
        <w:spacing w:line="360" w:lineRule="auto"/>
        <w:ind w:firstLine="552"/>
        <w:rPr>
          <w:rFonts w:ascii="仿宋" w:hAnsi="仿宋" w:eastAsia="仿宋" w:cs="仿宋"/>
          <w:szCs w:val="21"/>
        </w:rPr>
      </w:pPr>
      <w:r>
        <w:rPr>
          <w:rFonts w:hint="eastAsia" w:ascii="仿宋" w:hAnsi="仿宋" w:eastAsia="仿宋" w:cs="仿宋"/>
          <w:szCs w:val="21"/>
        </w:rPr>
        <w:t>4、我方提交的响应文件及报价自提交日期起</w:t>
      </w:r>
      <w:r>
        <w:rPr>
          <w:rFonts w:hint="eastAsia" w:ascii="仿宋" w:hAnsi="仿宋" w:eastAsia="仿宋" w:cs="仿宋"/>
          <w:szCs w:val="21"/>
          <w:u w:val="single"/>
        </w:rPr>
        <w:t xml:space="preserve">    </w:t>
      </w:r>
      <w:r>
        <w:rPr>
          <w:rFonts w:hint="eastAsia" w:ascii="仿宋" w:hAnsi="仿宋" w:eastAsia="仿宋" w:cs="仿宋"/>
          <w:szCs w:val="21"/>
        </w:rPr>
        <w:t>天有效，并对我方具有约束力。</w:t>
      </w:r>
    </w:p>
    <w:p>
      <w:pPr>
        <w:snapToGrid w:val="0"/>
        <w:spacing w:line="360" w:lineRule="auto"/>
        <w:ind w:firstLine="552"/>
        <w:rPr>
          <w:rFonts w:ascii="仿宋" w:hAnsi="仿宋" w:eastAsia="仿宋" w:cs="仿宋"/>
          <w:szCs w:val="21"/>
        </w:rPr>
      </w:pPr>
      <w:r>
        <w:rPr>
          <w:rFonts w:hint="eastAsia" w:ascii="仿宋" w:hAnsi="仿宋" w:eastAsia="仿宋" w:cs="仿宋"/>
          <w:szCs w:val="21"/>
        </w:rPr>
        <w:t>5、在正式合同准备好和签字前，本报价函及贵方的书面成交结果通知书将构成约束我们双方的合同内容。</w:t>
      </w:r>
    </w:p>
    <w:p>
      <w:pPr>
        <w:pStyle w:val="19"/>
        <w:snapToGrid w:val="0"/>
        <w:spacing w:after="0" w:line="360" w:lineRule="auto"/>
        <w:rPr>
          <w:rFonts w:ascii="仿宋" w:hAnsi="仿宋" w:eastAsia="仿宋" w:cs="仿宋"/>
          <w:b/>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u w:val="single"/>
        </w:rPr>
        <w:sectPr>
          <w:footerReference r:id="rId3" w:type="default"/>
          <w:pgSz w:w="11907" w:h="16840"/>
          <w:pgMar w:top="1440" w:right="1304" w:bottom="1440" w:left="1418" w:header="851" w:footer="992" w:gutter="0"/>
          <w:cols w:space="720" w:num="1"/>
          <w:docGrid w:type="linesAndChars" w:linePitch="312" w:charSpace="0"/>
        </w:sect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t>附件二：</w:t>
      </w:r>
    </w:p>
    <w:p>
      <w:pPr>
        <w:spacing w:line="360" w:lineRule="auto"/>
        <w:jc w:val="center"/>
        <w:rPr>
          <w:rFonts w:ascii="仿宋" w:hAnsi="仿宋" w:eastAsia="仿宋" w:cs="仿宋"/>
          <w:szCs w:val="21"/>
        </w:rPr>
      </w:pPr>
      <w:r>
        <w:rPr>
          <w:rFonts w:hint="eastAsia" w:ascii="仿宋" w:hAnsi="仿宋" w:eastAsia="仿宋" w:cs="仿宋"/>
          <w:b/>
          <w:szCs w:val="21"/>
        </w:rPr>
        <w:t>参考报价表</w:t>
      </w:r>
    </w:p>
    <w:p>
      <w:pPr>
        <w:spacing w:line="360" w:lineRule="auto"/>
        <w:ind w:firstLine="420" w:firstLineChars="200"/>
        <w:rPr>
          <w:rFonts w:ascii="仿宋" w:hAnsi="仿宋" w:eastAsia="仿宋" w:cs="仿宋"/>
          <w:b/>
          <w:szCs w:val="21"/>
        </w:rPr>
      </w:pPr>
      <w:r>
        <w:rPr>
          <w:rFonts w:hint="eastAsia" w:ascii="仿宋" w:hAnsi="仿宋" w:eastAsia="仿宋" w:cs="仿宋"/>
          <w:b/>
          <w:szCs w:val="21"/>
        </w:rPr>
        <w:t>项目编号：                           价格单位：人民币元</w:t>
      </w:r>
    </w:p>
    <w:tbl>
      <w:tblPr>
        <w:tblStyle w:val="43"/>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72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品牌型号</w:t>
            </w:r>
          </w:p>
        </w:tc>
        <w:tc>
          <w:tcPr>
            <w:tcW w:w="1506"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单价</w:t>
            </w:r>
          </w:p>
        </w:tc>
        <w:tc>
          <w:tcPr>
            <w:tcW w:w="2008"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总价</w:t>
            </w:r>
          </w:p>
        </w:tc>
        <w:tc>
          <w:tcPr>
            <w:tcW w:w="1890"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vAlign w:val="center"/>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PrEx>
        <w:trPr>
          <w:cantSplit/>
          <w:trHeight w:val="390" w:hRule="atLeast"/>
          <w:jc w:val="center"/>
        </w:trPr>
        <w:tc>
          <w:tcPr>
            <w:tcW w:w="1283" w:type="dxa"/>
            <w:tcBorders>
              <w:bottom w:val="single" w:color="auto" w:sz="4" w:space="0"/>
            </w:tcBorders>
          </w:tcPr>
          <w:p>
            <w:pPr>
              <w:spacing w:line="360" w:lineRule="auto"/>
              <w:jc w:val="center"/>
              <w:rPr>
                <w:rFonts w:ascii="仿宋" w:hAnsi="仿宋" w:eastAsia="仿宋" w:cs="仿宋"/>
                <w:szCs w:val="21"/>
              </w:rPr>
            </w:pPr>
          </w:p>
        </w:tc>
        <w:tc>
          <w:tcPr>
            <w:tcW w:w="1723" w:type="dxa"/>
            <w:tcBorders>
              <w:bottom w:val="single" w:color="auto" w:sz="4" w:space="0"/>
            </w:tcBorders>
          </w:tcPr>
          <w:p>
            <w:pPr>
              <w:spacing w:line="360" w:lineRule="auto"/>
              <w:jc w:val="center"/>
              <w:rPr>
                <w:rFonts w:ascii="仿宋" w:hAnsi="仿宋" w:eastAsia="仿宋" w:cs="仿宋"/>
                <w:szCs w:val="21"/>
              </w:rPr>
            </w:pPr>
          </w:p>
        </w:tc>
        <w:tc>
          <w:tcPr>
            <w:tcW w:w="1506" w:type="dxa"/>
            <w:tcBorders>
              <w:bottom w:val="single" w:color="auto" w:sz="4" w:space="0"/>
            </w:tcBorders>
          </w:tcPr>
          <w:p>
            <w:pPr>
              <w:widowControl/>
              <w:spacing w:line="360" w:lineRule="auto"/>
              <w:jc w:val="center"/>
              <w:rPr>
                <w:rFonts w:ascii="仿宋" w:hAnsi="仿宋" w:eastAsia="仿宋" w:cs="仿宋"/>
                <w:kern w:val="0"/>
                <w:szCs w:val="21"/>
              </w:rPr>
            </w:pPr>
          </w:p>
        </w:tc>
        <w:tc>
          <w:tcPr>
            <w:tcW w:w="2008" w:type="dxa"/>
            <w:tcBorders>
              <w:bottom w:val="single" w:color="auto" w:sz="4" w:space="0"/>
            </w:tcBorders>
          </w:tcPr>
          <w:p>
            <w:pPr>
              <w:widowControl/>
              <w:spacing w:line="360" w:lineRule="auto"/>
              <w:jc w:val="center"/>
              <w:rPr>
                <w:rFonts w:ascii="仿宋" w:hAnsi="仿宋" w:eastAsia="仿宋" w:cs="仿宋"/>
                <w:kern w:val="0"/>
                <w:szCs w:val="21"/>
              </w:rPr>
            </w:pPr>
          </w:p>
        </w:tc>
        <w:tc>
          <w:tcPr>
            <w:tcW w:w="1890" w:type="dxa"/>
            <w:tcBorders>
              <w:bottom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72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506"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bl>
    <w:p>
      <w:pPr>
        <w:spacing w:line="360" w:lineRule="auto"/>
        <w:ind w:left="1260" w:hanging="1260"/>
        <w:rPr>
          <w:rFonts w:ascii="仿宋" w:hAnsi="仿宋" w:eastAsia="仿宋" w:cs="仿宋"/>
          <w:b/>
          <w:szCs w:val="21"/>
        </w:rPr>
      </w:pPr>
      <w:r>
        <w:rPr>
          <w:rFonts w:hint="eastAsia" w:ascii="仿宋" w:hAnsi="仿宋" w:eastAsia="仿宋" w:cs="仿宋"/>
          <w:b/>
          <w:szCs w:val="21"/>
        </w:rPr>
        <w:t>说明：1、参考报价可以是市场价格，也可以是谈判供应商认为合适的价格。</w:t>
      </w:r>
    </w:p>
    <w:p>
      <w:pPr>
        <w:spacing w:line="360" w:lineRule="auto"/>
        <w:ind w:firstLine="630" w:firstLineChars="300"/>
        <w:rPr>
          <w:rFonts w:ascii="仿宋" w:hAnsi="仿宋" w:eastAsia="仿宋" w:cs="仿宋"/>
          <w:b/>
          <w:szCs w:val="21"/>
        </w:rPr>
      </w:pPr>
      <w:r>
        <w:rPr>
          <w:rFonts w:hint="eastAsia" w:ascii="仿宋" w:hAnsi="仿宋" w:eastAsia="仿宋" w:cs="仿宋"/>
          <w:b/>
          <w:szCs w:val="21"/>
        </w:rPr>
        <w:t>2、参考报价不作为评审的依据。</w:t>
      </w:r>
    </w:p>
    <w:p>
      <w:pPr>
        <w:snapToGrid w:val="0"/>
        <w:spacing w:line="360" w:lineRule="auto"/>
        <w:ind w:firstLine="550"/>
        <w:rPr>
          <w:rFonts w:ascii="仿宋" w:hAnsi="仿宋" w:eastAsia="仿宋" w:cs="仿宋"/>
          <w:szCs w:val="21"/>
        </w:rPr>
      </w:pPr>
    </w:p>
    <w:p>
      <w:pPr>
        <w:snapToGrid w:val="0"/>
        <w:spacing w:line="360" w:lineRule="auto"/>
        <w:ind w:firstLine="550"/>
        <w:rPr>
          <w:rFonts w:ascii="仿宋" w:hAnsi="仿宋" w:eastAsia="仿宋" w:cs="仿宋"/>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snapToGrid w:val="0"/>
        <w:spacing w:line="360" w:lineRule="auto"/>
        <w:ind w:firstLine="550"/>
        <w:rPr>
          <w:rFonts w:ascii="仿宋" w:hAnsi="仿宋" w:eastAsia="仿宋" w:cs="仿宋"/>
          <w:b/>
          <w:szCs w:val="21"/>
        </w:r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附件三：</w:t>
      </w:r>
    </w:p>
    <w:p>
      <w:pPr>
        <w:spacing w:line="360" w:lineRule="auto"/>
        <w:jc w:val="center"/>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u w:val="single"/>
        </w:rPr>
      </w:pPr>
      <w:r>
        <w:rPr>
          <w:rFonts w:hint="eastAsia" w:ascii="仿宋" w:hAnsi="仿宋" w:eastAsia="仿宋" w:cs="仿宋"/>
          <w:b/>
          <w:szCs w:val="21"/>
        </w:rPr>
        <w:t>（一）法定代表人授权书</w:t>
      </w:r>
    </w:p>
    <w:p>
      <w:pPr>
        <w:spacing w:line="360" w:lineRule="auto"/>
        <w:rPr>
          <w:rFonts w:ascii="仿宋" w:hAnsi="仿宋" w:eastAsia="仿宋" w:cs="仿宋"/>
          <w:szCs w:val="21"/>
        </w:rPr>
      </w:pPr>
      <w:r>
        <w:rPr>
          <w:rFonts w:hint="eastAsia" w:ascii="仿宋" w:hAnsi="仿宋" w:eastAsia="仿宋" w:cs="仿宋"/>
          <w:szCs w:val="21"/>
          <w:u w:val="single"/>
        </w:rPr>
        <w:t>防灾科技学院</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（谈判供应商全称）    </w:t>
      </w:r>
      <w:r>
        <w:rPr>
          <w:rFonts w:hint="eastAsia" w:ascii="仿宋" w:hAnsi="仿宋" w:eastAsia="仿宋" w:cs="仿宋"/>
          <w:szCs w:val="21"/>
        </w:rPr>
        <w:t>法定代表人</w:t>
      </w:r>
      <w:r>
        <w:rPr>
          <w:rFonts w:hint="eastAsia" w:ascii="仿宋" w:hAnsi="仿宋" w:eastAsia="仿宋" w:cs="仿宋"/>
          <w:szCs w:val="21"/>
          <w:u w:val="single"/>
        </w:rPr>
        <w:t xml:space="preserve">  （姓名）  </w:t>
      </w:r>
      <w:r>
        <w:rPr>
          <w:rFonts w:hint="eastAsia" w:ascii="仿宋" w:hAnsi="仿宋" w:eastAsia="仿宋" w:cs="仿宋"/>
          <w:szCs w:val="21"/>
        </w:rPr>
        <w:t>授权</w:t>
      </w:r>
      <w:r>
        <w:rPr>
          <w:rFonts w:hint="eastAsia" w:ascii="仿宋" w:hAnsi="仿宋" w:eastAsia="仿宋" w:cs="仿宋"/>
          <w:szCs w:val="21"/>
          <w:u w:val="single"/>
        </w:rPr>
        <w:t xml:space="preserve">  姓名  </w:t>
      </w:r>
      <w:r>
        <w:rPr>
          <w:rFonts w:hint="eastAsia" w:ascii="仿宋" w:hAnsi="仿宋" w:eastAsia="仿宋" w:cs="仿宋"/>
          <w:szCs w:val="21"/>
        </w:rPr>
        <w:t>为全权代表，参加贵公司组织的</w:t>
      </w:r>
      <w:r>
        <w:rPr>
          <w:rFonts w:hint="eastAsia" w:ascii="仿宋" w:hAnsi="仿宋" w:eastAsia="仿宋" w:cs="仿宋"/>
          <w:szCs w:val="21"/>
          <w:u w:val="single"/>
        </w:rPr>
        <w:t xml:space="preserve">                 </w:t>
      </w:r>
      <w:r>
        <w:rPr>
          <w:rFonts w:hint="eastAsia" w:ascii="仿宋" w:hAnsi="仿宋" w:eastAsia="仿宋" w:cs="仿宋"/>
          <w:szCs w:val="21"/>
        </w:rPr>
        <w:t>项目（项目编号：</w:t>
      </w:r>
      <w:r>
        <w:rPr>
          <w:rFonts w:hint="eastAsia" w:ascii="仿宋" w:hAnsi="仿宋" w:eastAsia="仿宋" w:cs="仿宋"/>
          <w:szCs w:val="21"/>
          <w:u w:val="single"/>
        </w:rPr>
        <w:t xml:space="preserve">         </w:t>
      </w:r>
      <w:r>
        <w:rPr>
          <w:rFonts w:hint="eastAsia" w:ascii="仿宋" w:hAnsi="仿宋" w:eastAsia="仿宋" w:cs="仿宋"/>
          <w:szCs w:val="21"/>
        </w:rPr>
        <w:t>）谈判报价活动，全权处理谈判活动中的一切事宜。</w:t>
      </w:r>
    </w:p>
    <w:p>
      <w:pPr>
        <w:spacing w:line="360" w:lineRule="auto"/>
        <w:rPr>
          <w:rFonts w:ascii="仿宋" w:hAnsi="仿宋" w:eastAsia="仿宋" w:cs="仿宋"/>
          <w:szCs w:val="21"/>
        </w:rPr>
      </w:pPr>
      <w:r>
        <w:rPr>
          <w:rFonts w:hint="eastAsia" w:ascii="仿宋" w:hAnsi="仿宋" w:eastAsia="仿宋" w:cs="仿宋"/>
          <w:szCs w:val="21"/>
        </w:rPr>
        <w:t xml:space="preserve">          　　　　　　　　　　 法定代表人签字或签章：</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单位全称(公章)：</w:t>
      </w:r>
    </w:p>
    <w:p>
      <w:pPr>
        <w:spacing w:line="360" w:lineRule="auto"/>
        <w:rPr>
          <w:rFonts w:ascii="仿宋" w:hAnsi="仿宋" w:eastAsia="仿宋" w:cs="仿宋"/>
          <w:szCs w:val="21"/>
        </w:rPr>
      </w:pPr>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日　期：</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附：</w:t>
      </w:r>
    </w:p>
    <w:p>
      <w:pPr>
        <w:spacing w:line="360" w:lineRule="auto"/>
        <w:rPr>
          <w:rFonts w:ascii="仿宋" w:hAnsi="仿宋" w:eastAsia="仿宋" w:cs="仿宋"/>
          <w:szCs w:val="21"/>
        </w:rPr>
      </w:pPr>
      <w:r>
        <w:rPr>
          <w:rFonts w:hint="eastAsia" w:ascii="仿宋" w:hAnsi="仿宋" w:eastAsia="仿宋" w:cs="仿宋"/>
          <w:szCs w:val="21"/>
        </w:rPr>
        <w:t xml:space="preserve">     　授权代表姓名：</w:t>
      </w:r>
    </w:p>
    <w:p>
      <w:pPr>
        <w:spacing w:line="360" w:lineRule="auto"/>
        <w:rPr>
          <w:rFonts w:ascii="仿宋" w:hAnsi="仿宋" w:eastAsia="仿宋" w:cs="仿宋"/>
          <w:szCs w:val="21"/>
        </w:rPr>
      </w:pPr>
      <w:r>
        <w:rPr>
          <w:rFonts w:hint="eastAsia" w:ascii="仿宋" w:hAnsi="仿宋" w:eastAsia="仿宋" w:cs="仿宋"/>
          <w:szCs w:val="21"/>
        </w:rPr>
        <w:t xml:space="preserve">     　职　　　　务：</w:t>
      </w:r>
    </w:p>
    <w:p>
      <w:pPr>
        <w:spacing w:line="360" w:lineRule="auto"/>
        <w:rPr>
          <w:rFonts w:ascii="仿宋" w:hAnsi="仿宋" w:eastAsia="仿宋" w:cs="仿宋"/>
          <w:szCs w:val="21"/>
        </w:rPr>
      </w:pPr>
      <w:r>
        <w:rPr>
          <w:rFonts w:hint="eastAsia" w:ascii="仿宋" w:hAnsi="仿宋" w:eastAsia="仿宋" w:cs="仿宋"/>
          <w:szCs w:val="21"/>
        </w:rPr>
        <w:t xml:space="preserve">     　详细通讯地址：</w:t>
      </w:r>
    </w:p>
    <w:p>
      <w:pPr>
        <w:spacing w:line="360" w:lineRule="auto"/>
        <w:rPr>
          <w:rFonts w:ascii="仿宋" w:hAnsi="仿宋" w:eastAsia="仿宋" w:cs="仿宋"/>
          <w:szCs w:val="21"/>
        </w:rPr>
      </w:pPr>
      <w:r>
        <w:rPr>
          <w:rFonts w:hint="eastAsia" w:ascii="仿宋" w:hAnsi="仿宋" w:eastAsia="仿宋" w:cs="仿宋"/>
          <w:szCs w:val="21"/>
        </w:rPr>
        <w:t xml:space="preserve">     　邮 政 编 码 ：</w:t>
      </w:r>
    </w:p>
    <w:p>
      <w:pPr>
        <w:spacing w:line="360" w:lineRule="auto"/>
        <w:rPr>
          <w:rFonts w:ascii="仿宋" w:hAnsi="仿宋" w:eastAsia="仿宋" w:cs="仿宋"/>
          <w:szCs w:val="21"/>
        </w:rPr>
      </w:pPr>
      <w:r>
        <w:rPr>
          <w:rFonts w:hint="eastAsia" w:ascii="仿宋" w:hAnsi="仿宋" w:eastAsia="仿宋" w:cs="仿宋"/>
          <w:szCs w:val="21"/>
        </w:rPr>
        <w:t xml:space="preserve">     　传       真 ：</w:t>
      </w:r>
    </w:p>
    <w:p>
      <w:pPr>
        <w:spacing w:line="360" w:lineRule="auto"/>
        <w:rPr>
          <w:rFonts w:ascii="仿宋" w:hAnsi="仿宋" w:eastAsia="仿宋" w:cs="仿宋"/>
          <w:szCs w:val="21"/>
        </w:rPr>
      </w:pPr>
      <w:r>
        <w:rPr>
          <w:rFonts w:hint="eastAsia" w:ascii="仿宋" w:hAnsi="仿宋" w:eastAsia="仿宋" w:cs="仿宋"/>
          <w:szCs w:val="21"/>
        </w:rPr>
        <w:t xml:space="preserve">     　电       话 ：</w:t>
      </w:r>
    </w:p>
    <w:p>
      <w:pPr>
        <w:spacing w:line="360" w:lineRule="auto"/>
        <w:rPr>
          <w:rFonts w:ascii="仿宋" w:hAnsi="仿宋" w:eastAsia="仿宋" w:cs="仿宋"/>
          <w:szCs w:val="21"/>
        </w:rPr>
      </w:pPr>
      <w:r>
        <w:rPr>
          <w:rFonts w:hint="eastAsia" w:ascii="仿宋" w:hAnsi="仿宋" w:eastAsia="仿宋" w:cs="仿宋"/>
          <w:szCs w:val="21"/>
        </w:rPr>
        <w:t xml:space="preserve">       Email  地址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（二）谈判供应商情况表</w:t>
      </w:r>
    </w:p>
    <w:p>
      <w:pPr>
        <w:spacing w:line="360" w:lineRule="auto"/>
        <w:jc w:val="left"/>
        <w:rPr>
          <w:rFonts w:ascii="仿宋" w:hAnsi="仿宋" w:eastAsia="仿宋" w:cs="仿宋"/>
          <w:szCs w:val="21"/>
        </w:rPr>
      </w:pPr>
      <w:r>
        <w:rPr>
          <w:rFonts w:hint="eastAsia" w:ascii="仿宋" w:hAnsi="仿宋" w:eastAsia="仿宋" w:cs="仿宋"/>
          <w:szCs w:val="21"/>
        </w:rPr>
        <w:t>谈判供应商:(公章)                               填表日期:</w:t>
      </w:r>
    </w:p>
    <w:tbl>
      <w:tblPr>
        <w:tblStyle w:val="43"/>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单位名称</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详细地址</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主管部门</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法人代表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经济类型</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授权代表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邮政编码</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电话</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传真</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1233" w:hRule="atLeast"/>
        </w:trPr>
        <w:tc>
          <w:tcPr>
            <w:tcW w:w="1320" w:type="dxa"/>
          </w:tcPr>
          <w:p>
            <w:pPr>
              <w:spacing w:line="360" w:lineRule="auto"/>
              <w:rPr>
                <w:rFonts w:ascii="仿宋" w:hAnsi="仿宋" w:eastAsia="仿宋" w:cs="仿宋"/>
                <w:szCs w:val="21"/>
              </w:rPr>
            </w:pPr>
            <w:r>
              <w:rPr>
                <w:rFonts w:hint="eastAsia" w:ascii="仿宋" w:hAnsi="仿宋" w:eastAsia="仿宋" w:cs="仿宋"/>
                <w:szCs w:val="21"/>
              </w:rPr>
              <w:t xml:space="preserve">  单位简历</w:t>
            </w:r>
          </w:p>
          <w:p>
            <w:pPr>
              <w:spacing w:line="360" w:lineRule="auto"/>
              <w:jc w:val="center"/>
              <w:rPr>
                <w:rFonts w:ascii="仿宋" w:hAnsi="仿宋" w:eastAsia="仿宋" w:cs="仿宋"/>
                <w:szCs w:val="21"/>
              </w:rPr>
            </w:pPr>
            <w:r>
              <w:rPr>
                <w:rFonts w:hint="eastAsia" w:ascii="仿宋" w:hAnsi="仿宋" w:eastAsia="仿宋" w:cs="仿宋"/>
                <w:szCs w:val="21"/>
              </w:rPr>
              <w:t>及机构</w:t>
            </w:r>
          </w:p>
        </w:tc>
        <w:tc>
          <w:tcPr>
            <w:tcW w:w="7980" w:type="dxa"/>
            <w:gridSpan w:val="10"/>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tcPr>
          <w:p>
            <w:pPr>
              <w:spacing w:line="360" w:lineRule="auto"/>
              <w:jc w:val="center"/>
              <w:rPr>
                <w:rFonts w:ascii="仿宋" w:hAnsi="仿宋" w:eastAsia="仿宋" w:cs="仿宋"/>
                <w:szCs w:val="21"/>
              </w:rPr>
            </w:pPr>
            <w:r>
              <w:rPr>
                <w:rFonts w:hint="eastAsia" w:ascii="仿宋" w:hAnsi="仿宋" w:eastAsia="仿宋" w:cs="仿宋"/>
                <w:szCs w:val="21"/>
              </w:rPr>
              <w:t>单位主营范围及优势和</w:t>
            </w:r>
          </w:p>
          <w:p>
            <w:pPr>
              <w:spacing w:line="360" w:lineRule="auto"/>
              <w:jc w:val="center"/>
              <w:rPr>
                <w:rFonts w:ascii="仿宋" w:hAnsi="仿宋" w:eastAsia="仿宋" w:cs="仿宋"/>
                <w:szCs w:val="21"/>
              </w:rPr>
            </w:pPr>
            <w:r>
              <w:rPr>
                <w:rFonts w:hint="eastAsia" w:ascii="仿宋" w:hAnsi="仿宋" w:eastAsia="仿宋" w:cs="仿宋"/>
                <w:szCs w:val="21"/>
              </w:rPr>
              <w:t>特长</w:t>
            </w:r>
          </w:p>
        </w:tc>
        <w:tc>
          <w:tcPr>
            <w:tcW w:w="7980" w:type="dxa"/>
            <w:gridSpan w:val="10"/>
            <w:tcBorders>
              <w:bottom w:val="nil"/>
            </w:tcBorders>
          </w:tcPr>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tcPr>
          <w:p>
            <w:pPr>
              <w:pBdr>
                <w:top w:val="single" w:color="auto" w:sz="6" w:space="1"/>
              </w:pBdr>
              <w:spacing w:line="360" w:lineRule="auto"/>
              <w:jc w:val="center"/>
              <w:rPr>
                <w:rFonts w:ascii="仿宋" w:hAnsi="仿宋" w:eastAsia="仿宋" w:cs="仿宋"/>
                <w:szCs w:val="21"/>
              </w:rPr>
            </w:pPr>
          </w:p>
          <w:p>
            <w:pPr>
              <w:pBdr>
                <w:top w:val="single" w:color="auto" w:sz="6" w:space="1"/>
              </w:pBdr>
              <w:spacing w:line="360" w:lineRule="auto"/>
              <w:jc w:val="center"/>
              <w:rPr>
                <w:rFonts w:ascii="仿宋" w:hAnsi="仿宋" w:eastAsia="仿宋" w:cs="仿宋"/>
                <w:szCs w:val="21"/>
              </w:rPr>
            </w:pPr>
            <w:r>
              <w:rPr>
                <w:rFonts w:hint="eastAsia" w:ascii="仿宋" w:hAnsi="仿宋" w:eastAsia="仿宋" w:cs="仿宋"/>
                <w:szCs w:val="21"/>
              </w:rPr>
              <w:t>企业财务状况</w:t>
            </w:r>
          </w:p>
        </w:tc>
        <w:tc>
          <w:tcPr>
            <w:tcW w:w="945" w:type="dxa"/>
          </w:tcPr>
          <w:p>
            <w:pPr>
              <w:spacing w:line="360" w:lineRule="auto"/>
              <w:jc w:val="center"/>
              <w:rPr>
                <w:rFonts w:ascii="仿宋" w:hAnsi="仿宋" w:eastAsia="仿宋" w:cs="仿宋"/>
                <w:szCs w:val="21"/>
              </w:rPr>
            </w:pPr>
          </w:p>
        </w:tc>
        <w:tc>
          <w:tcPr>
            <w:tcW w:w="1428" w:type="dxa"/>
            <w:gridSpan w:val="2"/>
          </w:tcPr>
          <w:p>
            <w:pPr>
              <w:spacing w:line="360" w:lineRule="auto"/>
              <w:jc w:val="center"/>
              <w:rPr>
                <w:rFonts w:ascii="仿宋" w:hAnsi="仿宋" w:eastAsia="仿宋" w:cs="仿宋"/>
                <w:szCs w:val="21"/>
              </w:rPr>
            </w:pPr>
            <w:r>
              <w:rPr>
                <w:rFonts w:hint="eastAsia" w:ascii="仿宋" w:hAnsi="仿宋" w:eastAsia="仿宋" w:cs="仿宋"/>
                <w:szCs w:val="21"/>
              </w:rPr>
              <w:t>收入总额</w:t>
            </w:r>
          </w:p>
        </w:tc>
        <w:tc>
          <w:tcPr>
            <w:tcW w:w="1642" w:type="dxa"/>
            <w:gridSpan w:val="3"/>
          </w:tcPr>
          <w:p>
            <w:pPr>
              <w:spacing w:line="360" w:lineRule="auto"/>
              <w:jc w:val="center"/>
              <w:rPr>
                <w:rFonts w:ascii="仿宋" w:hAnsi="仿宋" w:eastAsia="仿宋" w:cs="仿宋"/>
                <w:szCs w:val="21"/>
              </w:rPr>
            </w:pPr>
            <w:r>
              <w:rPr>
                <w:rFonts w:hint="eastAsia" w:ascii="仿宋" w:hAnsi="仿宋" w:eastAsia="仿宋" w:cs="仿宋"/>
                <w:szCs w:val="21"/>
              </w:rPr>
              <w:t>利润总额</w:t>
            </w:r>
          </w:p>
        </w:tc>
        <w:tc>
          <w:tcPr>
            <w:tcW w:w="1516" w:type="dxa"/>
            <w:gridSpan w:val="2"/>
          </w:tcPr>
          <w:p>
            <w:pPr>
              <w:spacing w:line="360" w:lineRule="auto"/>
              <w:jc w:val="center"/>
              <w:rPr>
                <w:rFonts w:ascii="仿宋" w:hAnsi="仿宋" w:eastAsia="仿宋" w:cs="仿宋"/>
                <w:szCs w:val="21"/>
              </w:rPr>
            </w:pPr>
            <w:r>
              <w:rPr>
                <w:rFonts w:hint="eastAsia" w:ascii="仿宋" w:hAnsi="仿宋" w:eastAsia="仿宋" w:cs="仿宋"/>
                <w:szCs w:val="21"/>
              </w:rPr>
              <w:t>税后利润</w:t>
            </w:r>
          </w:p>
        </w:tc>
        <w:tc>
          <w:tcPr>
            <w:tcW w:w="2449" w:type="dxa"/>
            <w:gridSpan w:val="2"/>
          </w:tcPr>
          <w:p>
            <w:pPr>
              <w:spacing w:line="360" w:lineRule="auto"/>
              <w:jc w:val="center"/>
              <w:rPr>
                <w:rFonts w:ascii="仿宋" w:hAnsi="仿宋" w:eastAsia="仿宋" w:cs="仿宋"/>
                <w:szCs w:val="21"/>
              </w:rPr>
            </w:pPr>
            <w:r>
              <w:rPr>
                <w:rFonts w:hint="eastAsia" w:ascii="仿宋" w:hAnsi="仿宋" w:eastAsia="仿宋" w:cs="仿宋"/>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2015年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2016年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9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2017年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400" w:hRule="atLeast"/>
        </w:trPr>
        <w:tc>
          <w:tcPr>
            <w:tcW w:w="1320" w:type="dxa"/>
            <w:vMerge w:val="restart"/>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业绩情况</w:t>
            </w:r>
          </w:p>
        </w:tc>
        <w:tc>
          <w:tcPr>
            <w:tcW w:w="3675" w:type="dxa"/>
            <w:gridSpan w:val="5"/>
          </w:tcPr>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4305" w:type="dxa"/>
            <w:gridSpan w:val="5"/>
          </w:tcPr>
          <w:p>
            <w:pPr>
              <w:spacing w:line="360" w:lineRule="auto"/>
              <w:jc w:val="center"/>
              <w:rPr>
                <w:rFonts w:ascii="仿宋" w:hAnsi="仿宋" w:eastAsia="仿宋" w:cs="仿宋"/>
                <w:szCs w:val="21"/>
              </w:rPr>
            </w:pPr>
            <w:r>
              <w:rPr>
                <w:rFonts w:hint="eastAsia" w:ascii="仿宋" w:hAnsi="仿宋" w:eastAsia="仿宋" w:cs="仿宋"/>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（三）营业执照（副本复印件，加盖公章）或事业单位法人证书（副本复印件，加盖公章）或自然人身份证明（身份证复印件）</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（四）谈判供应商参加政府采购活动近三年内无违法记录的说明（格式自定，原件）</w:t>
      </w:r>
    </w:p>
    <w:p>
      <w:pPr>
        <w:snapToGrid w:val="0"/>
        <w:spacing w:line="360" w:lineRule="auto"/>
        <w:rPr>
          <w:rFonts w:ascii="仿宋" w:hAnsi="仿宋" w:eastAsia="仿宋" w:cs="仿宋"/>
          <w:b/>
          <w:szCs w:val="21"/>
        </w:rPr>
      </w:pPr>
      <w:r>
        <w:rPr>
          <w:rFonts w:hint="eastAsia" w:ascii="仿宋" w:hAnsi="仿宋" w:eastAsia="仿宋" w:cs="仿宋"/>
          <w:b/>
          <w:szCs w:val="21"/>
        </w:rPr>
        <w:t>（五）谈判供应商企业类型声明函、制造商企业类型声明函（原件，符合《政府采购促进中小企业发展暂行办法》（财库[2011]181号）价格扣减条件的谈判供应商须提交）</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widowControl/>
        <w:jc w:val="left"/>
        <w:rPr>
          <w:rFonts w:ascii="仿宋" w:hAnsi="仿宋" w:eastAsia="仿宋" w:cs="仿宋"/>
          <w:b/>
          <w:szCs w:val="21"/>
        </w:rPr>
      </w:pPr>
      <w:r>
        <w:rPr>
          <w:rFonts w:hint="eastAsia" w:ascii="仿宋" w:hAnsi="仿宋" w:eastAsia="仿宋" w:cs="仿宋"/>
          <w:b/>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谈判供应商企业类型声明函（格式）</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本公司郑重声明，根据《政府采购促进中小企业发展暂行办法》（财库[2011]181号）的规定，本公司为______（请填写：大型、中型、小型、微型）企业。即，本公司同时满足以下条件：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根据《工业和信息化部、国家统计局、国家发展和改革委员会、财政部关于印发中小企业划型标准规定的通知》（工信部联企业[2011]300号）规定的划分标准，本公司为______（请填写：大型、中型、小型、微型）企业。</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2.本公司参加______单位的______项目采购活动（以下形式选择填写）：</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（1）□本公司直接提供本企业制造的货物，由本企业承担工程、提供服务。</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（2）□本公司为代理商，提供其他______（请填写：中型、小型、微型）企业制造的货物。本条所称货物不包括使用大型企业注册商标的货物。（后附制造商企业类型声明函）</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snapToGrid w:val="0"/>
        <w:spacing w:line="360" w:lineRule="auto"/>
        <w:rPr>
          <w:rFonts w:ascii="仿宋" w:hAnsi="仿宋" w:eastAsia="仿宋" w:cs="仿宋"/>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制造商企业类型声明函（格式）</w:t>
      </w:r>
    </w:p>
    <w:p>
      <w:pPr>
        <w:snapToGrid w:val="0"/>
        <w:spacing w:line="360" w:lineRule="auto"/>
        <w:jc w:val="center"/>
        <w:rPr>
          <w:rFonts w:ascii="仿宋" w:hAnsi="仿宋" w:eastAsia="仿宋" w:cs="仿宋"/>
          <w:b/>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本公司为______（请填写：中型、小型、微型）企业，提供本企业制造的货物，由本企业承担工程、提供服务。</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widowControl/>
        <w:spacing w:line="360" w:lineRule="auto"/>
        <w:ind w:firstLine="4515" w:firstLineChars="2150"/>
        <w:jc w:val="left"/>
        <w:rPr>
          <w:rFonts w:ascii="仿宋" w:hAnsi="仿宋" w:eastAsia="仿宋" w:cs="仿宋"/>
          <w:kern w:val="0"/>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rPr>
          <w:rFonts w:ascii="仿宋" w:hAnsi="仿宋" w:eastAsia="仿宋" w:cs="仿宋"/>
          <w:b/>
          <w:szCs w:val="21"/>
        </w:rPr>
      </w:pPr>
      <w:r>
        <w:rPr>
          <w:rFonts w:hint="eastAsia" w:ascii="仿宋" w:hAnsi="仿宋" w:eastAsia="仿宋" w:cs="仿宋"/>
          <w:kern w:val="0"/>
          <w:szCs w:val="21"/>
        </w:rPr>
        <w:br w:type="page"/>
      </w:r>
      <w:r>
        <w:rPr>
          <w:rFonts w:hint="eastAsia" w:ascii="仿宋" w:hAnsi="仿宋" w:eastAsia="仿宋" w:cs="仿宋"/>
          <w:b/>
          <w:szCs w:val="21"/>
        </w:rPr>
        <w:t>（九）其他必要的内容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1、投标人认为可以证明其工作和项目能力的其他资质文件</w:t>
      </w:r>
    </w:p>
    <w:p>
      <w:pPr>
        <w:spacing w:line="360" w:lineRule="auto"/>
        <w:ind w:firstLine="105" w:firstLineChars="50"/>
        <w:rPr>
          <w:rFonts w:ascii="仿宋" w:hAnsi="仿宋" w:eastAsia="仿宋" w:cs="仿宋"/>
          <w:b/>
          <w:szCs w:val="21"/>
        </w:rPr>
      </w:pPr>
      <w:r>
        <w:rPr>
          <w:rFonts w:hint="eastAsia" w:ascii="仿宋" w:hAnsi="仿宋" w:eastAsia="仿宋" w:cs="仿宋"/>
          <w:b/>
          <w:szCs w:val="21"/>
        </w:rPr>
        <w:t>附件四：采购需求响应方案</w:t>
      </w:r>
    </w:p>
    <w:p>
      <w:pPr>
        <w:snapToGrid w:val="0"/>
        <w:spacing w:line="360" w:lineRule="auto"/>
        <w:ind w:firstLine="420" w:firstLineChars="200"/>
        <w:rPr>
          <w:rFonts w:ascii="仿宋" w:hAnsi="仿宋" w:eastAsia="仿宋" w:cs="仿宋"/>
          <w:b/>
          <w:szCs w:val="21"/>
        </w:rPr>
      </w:pPr>
    </w:p>
    <w:p>
      <w:pPr>
        <w:snapToGrid w:val="0"/>
        <w:spacing w:line="360" w:lineRule="auto"/>
        <w:ind w:firstLine="420" w:firstLineChars="200"/>
        <w:rPr>
          <w:rFonts w:ascii="仿宋" w:hAnsi="仿宋" w:eastAsia="仿宋" w:cs="仿宋"/>
          <w:b/>
          <w:szCs w:val="21"/>
        </w:rPr>
      </w:pPr>
      <w:r>
        <w:rPr>
          <w:rFonts w:hint="eastAsia" w:ascii="仿宋" w:hAnsi="仿宋" w:eastAsia="仿宋" w:cs="仿宋"/>
          <w:szCs w:val="21"/>
        </w:rPr>
        <w:br w:type="page"/>
      </w:r>
      <w:r>
        <w:rPr>
          <w:rFonts w:hint="eastAsia" w:ascii="仿宋" w:hAnsi="仿宋" w:eastAsia="仿宋" w:cs="仿宋"/>
          <w:b/>
          <w:szCs w:val="21"/>
        </w:rPr>
        <w:t>附件五：</w:t>
      </w:r>
    </w:p>
    <w:tbl>
      <w:tblPr>
        <w:tblStyle w:val="43"/>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vAlign w:val="center"/>
          </w:tcPr>
          <w:p>
            <w:pPr>
              <w:snapToGrid w:val="0"/>
              <w:spacing w:line="360" w:lineRule="auto"/>
              <w:jc w:val="center"/>
              <w:rPr>
                <w:rFonts w:ascii="仿宋" w:hAnsi="仿宋" w:eastAsia="仿宋" w:cs="仿宋"/>
                <w:b/>
                <w:bCs/>
                <w:kern w:val="0"/>
                <w:szCs w:val="21"/>
              </w:rPr>
            </w:pPr>
            <w:r>
              <w:rPr>
                <w:rFonts w:hint="eastAsia" w:ascii="仿宋" w:hAnsi="仿宋" w:eastAsia="仿宋" w:cs="仿宋"/>
                <w:b/>
                <w:bCs/>
                <w:kern w:val="0"/>
                <w:szCs w:val="21"/>
              </w:rPr>
              <w:t>最后报价表</w:t>
            </w:r>
            <w:r>
              <w:rPr>
                <w:rFonts w:hint="eastAsia" w:ascii="仿宋" w:hAnsi="仿宋" w:eastAsia="仿宋" w:cs="仿宋"/>
                <w:szCs w:val="21"/>
              </w:rPr>
              <w:t>（最后报价时提交）</w:t>
            </w: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项目编号</w:t>
            </w:r>
          </w:p>
        </w:tc>
        <w:tc>
          <w:tcPr>
            <w:tcW w:w="6719" w:type="dxa"/>
            <w:gridSpan w:val="3"/>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谈判日期</w:t>
            </w:r>
          </w:p>
        </w:tc>
        <w:tc>
          <w:tcPr>
            <w:tcW w:w="195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xml:space="preserve"> </w:t>
            </w:r>
          </w:p>
        </w:tc>
        <w:tc>
          <w:tcPr>
            <w:tcW w:w="1643"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谈判地点</w:t>
            </w:r>
          </w:p>
        </w:tc>
        <w:tc>
          <w:tcPr>
            <w:tcW w:w="311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防灾科技学院</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公司名称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首次报价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最后报价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6913"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p>
            <w:pPr>
              <w:widowControl/>
              <w:spacing w:line="360" w:lineRule="auto"/>
              <w:jc w:val="left"/>
              <w:rPr>
                <w:rFonts w:ascii="仿宋" w:hAnsi="仿宋" w:eastAsia="仿宋" w:cs="仿宋"/>
                <w:kern w:val="0"/>
                <w:szCs w:val="21"/>
              </w:rPr>
            </w:pPr>
          </w:p>
          <w:p>
            <w:pPr>
              <w:widowControl/>
              <w:spacing w:line="360" w:lineRule="auto"/>
              <w:ind w:firstLine="315" w:firstLineChars="150"/>
              <w:jc w:val="left"/>
              <w:rPr>
                <w:rFonts w:ascii="仿宋" w:hAnsi="仿宋" w:eastAsia="仿宋" w:cs="仿宋"/>
                <w:kern w:val="0"/>
                <w:szCs w:val="21"/>
              </w:rPr>
            </w:pPr>
            <w:r>
              <w:rPr>
                <w:rFonts w:hint="eastAsia" w:ascii="仿宋" w:hAnsi="仿宋" w:eastAsia="仿宋" w:cs="仿宋"/>
                <w:kern w:val="0"/>
                <w:szCs w:val="21"/>
              </w:rPr>
              <w:t>我公司承诺：</w:t>
            </w: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ind w:firstLine="3360" w:firstLineChars="1600"/>
              <w:jc w:val="left"/>
              <w:rPr>
                <w:rFonts w:ascii="仿宋" w:hAnsi="仿宋" w:eastAsia="仿宋" w:cs="仿宋"/>
                <w:kern w:val="0"/>
                <w:szCs w:val="21"/>
              </w:rPr>
            </w:pPr>
            <w:r>
              <w:rPr>
                <w:rFonts w:hint="eastAsia" w:ascii="仿宋" w:hAnsi="仿宋" w:eastAsia="仿宋" w:cs="仿宋"/>
                <w:kern w:val="0"/>
                <w:szCs w:val="21"/>
              </w:rPr>
              <w:t>授权代表签字：</w:t>
            </w:r>
          </w:p>
        </w:tc>
      </w:tr>
    </w:tbl>
    <w:p>
      <w:pPr>
        <w:rPr>
          <w:rFonts w:ascii="仿宋" w:hAnsi="仿宋" w:eastAsia="仿宋" w:cs="仿宋"/>
          <w:b/>
          <w:szCs w:val="21"/>
        </w:rPr>
      </w:pPr>
    </w:p>
    <w:sectPr>
      <w:type w:val="nextColumn"/>
      <w:pgSz w:w="11906" w:h="16838"/>
      <w:pgMar w:top="1440" w:right="1797" w:bottom="140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enlo">
    <w:altName w:val="仿宋_GB2312"/>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font-weight : 400">
    <w:altName w:val="仿宋_GB2312"/>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Cambria">
    <w:altName w:val="Shruti"/>
    <w:panose1 w:val="02040503050406030204"/>
    <w:charset w:val="00"/>
    <w:family w:val="roman"/>
    <w:pitch w:val="default"/>
    <w:sig w:usb0="00000000"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5"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C/w2ie8gEAAMEDAAAOAAAAAAAAAAEAIAAAAB8BAABkcnMvZTJvRG9jLnhtbFBLBQYAAAAABgAG&#10;AFkBAACD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lvl w:ilvl="0" w:tentative="0">
      <w:start w:val="1"/>
      <w:numFmt w:val="decimal"/>
      <w:pStyle w:val="133"/>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B35329"/>
    <w:multiLevelType w:val="multilevel"/>
    <w:tmpl w:val="2AB35329"/>
    <w:lvl w:ilvl="0" w:tentative="0">
      <w:start w:val="1"/>
      <w:numFmt w:val="decimal"/>
      <w:pStyle w:val="149"/>
      <w:lvlText w:val="%1、"/>
      <w:lvlJc w:val="left"/>
      <w:pPr>
        <w:tabs>
          <w:tab w:val="left" w:pos="840"/>
        </w:tabs>
        <w:ind w:left="840" w:hanging="360"/>
      </w:pPr>
      <w:rPr>
        <w:rFonts w:hint="default"/>
      </w:rPr>
    </w:lvl>
    <w:lvl w:ilvl="1" w:tentative="0">
      <w:start w:val="1"/>
      <w:numFmt w:val="decimal"/>
      <w:lvlText w:val="%2."/>
      <w:lvlJc w:val="left"/>
      <w:pPr>
        <w:tabs>
          <w:tab w:val="left" w:pos="1635"/>
        </w:tabs>
        <w:ind w:left="1635" w:hanging="735"/>
      </w:pPr>
      <w:rPr>
        <w:rFonts w:hint="default"/>
      </w:rPr>
    </w:lvl>
    <w:lvl w:ilvl="2" w:tentative="0">
      <w:start w:val="4"/>
      <w:numFmt w:val="japaneseCounting"/>
      <w:lvlText w:val="%3、"/>
      <w:lvlJc w:val="left"/>
      <w:pPr>
        <w:tabs>
          <w:tab w:val="left" w:pos="1740"/>
        </w:tabs>
        <w:ind w:left="1740" w:hanging="4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51F227F"/>
    <w:multiLevelType w:val="multilevel"/>
    <w:tmpl w:val="351F227F"/>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pStyle w:val="144"/>
      <w:lvlText w:val="%3."/>
      <w:lvlJc w:val="right"/>
      <w:pPr>
        <w:tabs>
          <w:tab w:val="left" w:pos="1260"/>
        </w:tabs>
        <w:ind w:left="1260" w:hanging="420"/>
      </w:pPr>
    </w:lvl>
    <w:lvl w:ilvl="3" w:tentative="0">
      <w:start w:val="1"/>
      <w:numFmt w:val="decimal"/>
      <w:pStyle w:val="15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abstractNum w:abstractNumId="4">
    <w:nsid w:val="6CEA2025"/>
    <w:multiLevelType w:val="multilevel"/>
    <w:tmpl w:val="6CEA2025"/>
    <w:lvl w:ilvl="0" w:tentative="0">
      <w:start w:val="1"/>
      <w:numFmt w:val="none"/>
      <w:pStyle w:val="163"/>
      <w:suff w:val="nothing"/>
      <w:lvlText w:val="%1"/>
      <w:lvlJc w:val="left"/>
      <w:pPr>
        <w:ind w:left="0" w:firstLine="0"/>
      </w:pPr>
      <w:rPr>
        <w:rFonts w:hint="default" w:ascii="Times New Roman" w:hAnsi="Times New Roman"/>
        <w:b/>
        <w:i w:val="0"/>
        <w:sz w:val="21"/>
      </w:rPr>
    </w:lvl>
    <w:lvl w:ilvl="1" w:tentative="0">
      <w:start w:val="1"/>
      <w:numFmt w:val="decimal"/>
      <w:pStyle w:val="158"/>
      <w:suff w:val="nothing"/>
      <w:lvlText w:val="%1%2　"/>
      <w:lvlJc w:val="left"/>
      <w:pPr>
        <w:ind w:left="0" w:firstLine="0"/>
      </w:pPr>
      <w:rPr>
        <w:rFonts w:hint="eastAsia" w:ascii="黑体" w:hAnsi="Times New Roman" w:eastAsia="黑体"/>
        <w:b w:val="0"/>
        <w:i w:val="0"/>
        <w:sz w:val="21"/>
      </w:rPr>
    </w:lvl>
    <w:lvl w:ilvl="2" w:tentative="0">
      <w:start w:val="1"/>
      <w:numFmt w:val="decimal"/>
      <w:pStyle w:val="155"/>
      <w:suff w:val="nothing"/>
      <w:lvlText w:val="%1%2.%3　"/>
      <w:lvlJc w:val="left"/>
      <w:pPr>
        <w:ind w:left="0" w:firstLine="0"/>
      </w:pPr>
      <w:rPr>
        <w:rFonts w:hint="eastAsia" w:ascii="黑体" w:hAnsi="Times New Roman" w:eastAsia="黑体"/>
        <w:b w:val="0"/>
        <w:i w:val="0"/>
        <w:sz w:val="21"/>
      </w:rPr>
    </w:lvl>
    <w:lvl w:ilvl="3" w:tentative="0">
      <w:start w:val="1"/>
      <w:numFmt w:val="decimal"/>
      <w:pStyle w:val="154"/>
      <w:suff w:val="nothing"/>
      <w:lvlText w:val="%1%2.%3.%4　"/>
      <w:lvlJc w:val="left"/>
      <w:pPr>
        <w:ind w:left="735" w:firstLine="0"/>
      </w:pPr>
      <w:rPr>
        <w:rFonts w:hint="eastAsia" w:ascii="黑体" w:hAnsi="Times New Roman" w:eastAsia="黑体"/>
        <w:b w:val="0"/>
        <w:i w:val="0"/>
        <w:sz w:val="21"/>
      </w:rPr>
    </w:lvl>
    <w:lvl w:ilvl="4" w:tentative="0">
      <w:start w:val="1"/>
      <w:numFmt w:val="decimal"/>
      <w:pStyle w:val="153"/>
      <w:suff w:val="nothing"/>
      <w:lvlText w:val="%5．"/>
      <w:lvlJc w:val="left"/>
      <w:pPr>
        <w:ind w:left="0" w:firstLine="0"/>
      </w:pPr>
      <w:rPr>
        <w:rFonts w:ascii="Times New Roman" w:hAnsi="Times New Roman" w:eastAsia="Times New Roman" w:cs="Times New Roman"/>
        <w:b w:val="0"/>
        <w:i w:val="0"/>
        <w:sz w:val="21"/>
      </w:rPr>
    </w:lvl>
    <w:lvl w:ilvl="5" w:tentative="0">
      <w:start w:val="1"/>
      <w:numFmt w:val="decimal"/>
      <w:pStyle w:val="152"/>
      <w:suff w:val="nothing"/>
      <w:lvlText w:val="%1%2.%3.%4.%5.%6　"/>
      <w:lvlJc w:val="left"/>
      <w:pPr>
        <w:ind w:left="0" w:firstLine="0"/>
      </w:pPr>
      <w:rPr>
        <w:rFonts w:hint="eastAsia" w:ascii="黑体" w:hAnsi="Times New Roman" w:eastAsia="黑体"/>
        <w:b w:val="0"/>
        <w:i w:val="0"/>
        <w:sz w:val="21"/>
      </w:rPr>
    </w:lvl>
    <w:lvl w:ilvl="6" w:tentative="0">
      <w:start w:val="1"/>
      <w:numFmt w:val="decimal"/>
      <w:pStyle w:val="1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139"/>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5"/>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2"/>
  </w:compat>
  <w:rsids>
    <w:rsidRoot w:val="00172A27"/>
    <w:rsid w:val="00001793"/>
    <w:rsid w:val="00001BDB"/>
    <w:rsid w:val="000046B0"/>
    <w:rsid w:val="00004AC4"/>
    <w:rsid w:val="00006629"/>
    <w:rsid w:val="000072A3"/>
    <w:rsid w:val="00007B1E"/>
    <w:rsid w:val="00010AA7"/>
    <w:rsid w:val="00021794"/>
    <w:rsid w:val="00025E4B"/>
    <w:rsid w:val="00043389"/>
    <w:rsid w:val="000519CF"/>
    <w:rsid w:val="00053D20"/>
    <w:rsid w:val="0005770C"/>
    <w:rsid w:val="0007777D"/>
    <w:rsid w:val="0008060D"/>
    <w:rsid w:val="00092CBB"/>
    <w:rsid w:val="000B06B3"/>
    <w:rsid w:val="000B77F7"/>
    <w:rsid w:val="000D065B"/>
    <w:rsid w:val="000D5E79"/>
    <w:rsid w:val="000D6F17"/>
    <w:rsid w:val="000D7F8C"/>
    <w:rsid w:val="000E2855"/>
    <w:rsid w:val="000E421F"/>
    <w:rsid w:val="000E7473"/>
    <w:rsid w:val="000F7BFD"/>
    <w:rsid w:val="00100809"/>
    <w:rsid w:val="00100AB3"/>
    <w:rsid w:val="00101739"/>
    <w:rsid w:val="00105431"/>
    <w:rsid w:val="0011114D"/>
    <w:rsid w:val="00111ABD"/>
    <w:rsid w:val="001141CB"/>
    <w:rsid w:val="00122BFE"/>
    <w:rsid w:val="00123D8D"/>
    <w:rsid w:val="00124D68"/>
    <w:rsid w:val="00130413"/>
    <w:rsid w:val="00130C02"/>
    <w:rsid w:val="001355B8"/>
    <w:rsid w:val="00141959"/>
    <w:rsid w:val="00141ED6"/>
    <w:rsid w:val="00163290"/>
    <w:rsid w:val="0016773A"/>
    <w:rsid w:val="00171987"/>
    <w:rsid w:val="00172A27"/>
    <w:rsid w:val="00182DF1"/>
    <w:rsid w:val="0018446D"/>
    <w:rsid w:val="00195FA8"/>
    <w:rsid w:val="001C1285"/>
    <w:rsid w:val="001D1C60"/>
    <w:rsid w:val="001D328E"/>
    <w:rsid w:val="001E13FC"/>
    <w:rsid w:val="001E1B2B"/>
    <w:rsid w:val="001E23B2"/>
    <w:rsid w:val="001E4F81"/>
    <w:rsid w:val="001E5A75"/>
    <w:rsid w:val="001E6D01"/>
    <w:rsid w:val="00204C38"/>
    <w:rsid w:val="002131CC"/>
    <w:rsid w:val="00220578"/>
    <w:rsid w:val="002210AF"/>
    <w:rsid w:val="00224873"/>
    <w:rsid w:val="00224DF6"/>
    <w:rsid w:val="00227866"/>
    <w:rsid w:val="002425A2"/>
    <w:rsid w:val="002453DC"/>
    <w:rsid w:val="0025142B"/>
    <w:rsid w:val="002528E0"/>
    <w:rsid w:val="00254D72"/>
    <w:rsid w:val="00256B3B"/>
    <w:rsid w:val="00263A89"/>
    <w:rsid w:val="00274EA7"/>
    <w:rsid w:val="00280C68"/>
    <w:rsid w:val="00292D41"/>
    <w:rsid w:val="002944C8"/>
    <w:rsid w:val="002A0557"/>
    <w:rsid w:val="002A10C7"/>
    <w:rsid w:val="002A2C14"/>
    <w:rsid w:val="002A7D52"/>
    <w:rsid w:val="002C0E31"/>
    <w:rsid w:val="002C20EB"/>
    <w:rsid w:val="002C6ED1"/>
    <w:rsid w:val="002D3CCF"/>
    <w:rsid w:val="002D6957"/>
    <w:rsid w:val="002E22ED"/>
    <w:rsid w:val="002E77EE"/>
    <w:rsid w:val="00300D21"/>
    <w:rsid w:val="0031103D"/>
    <w:rsid w:val="00317F3C"/>
    <w:rsid w:val="00335ACD"/>
    <w:rsid w:val="003363C9"/>
    <w:rsid w:val="00341AF5"/>
    <w:rsid w:val="00342017"/>
    <w:rsid w:val="00342D80"/>
    <w:rsid w:val="00361104"/>
    <w:rsid w:val="003611D2"/>
    <w:rsid w:val="00361884"/>
    <w:rsid w:val="0036241E"/>
    <w:rsid w:val="003653C9"/>
    <w:rsid w:val="003676AB"/>
    <w:rsid w:val="00372079"/>
    <w:rsid w:val="003772F5"/>
    <w:rsid w:val="00377308"/>
    <w:rsid w:val="0038132E"/>
    <w:rsid w:val="00381CA7"/>
    <w:rsid w:val="003820A5"/>
    <w:rsid w:val="003866FB"/>
    <w:rsid w:val="003915C7"/>
    <w:rsid w:val="0039240B"/>
    <w:rsid w:val="003C4C77"/>
    <w:rsid w:val="003D5CE0"/>
    <w:rsid w:val="003D6B7C"/>
    <w:rsid w:val="003D7498"/>
    <w:rsid w:val="003E1386"/>
    <w:rsid w:val="003F3623"/>
    <w:rsid w:val="003F7D26"/>
    <w:rsid w:val="0040255C"/>
    <w:rsid w:val="0040338D"/>
    <w:rsid w:val="0041066A"/>
    <w:rsid w:val="00411068"/>
    <w:rsid w:val="00416724"/>
    <w:rsid w:val="00417C35"/>
    <w:rsid w:val="00422BF2"/>
    <w:rsid w:val="004271A3"/>
    <w:rsid w:val="00436CF5"/>
    <w:rsid w:val="00442936"/>
    <w:rsid w:val="00446D8A"/>
    <w:rsid w:val="00451182"/>
    <w:rsid w:val="00452C7A"/>
    <w:rsid w:val="00452FF0"/>
    <w:rsid w:val="00467959"/>
    <w:rsid w:val="0047058F"/>
    <w:rsid w:val="00476397"/>
    <w:rsid w:val="00482D63"/>
    <w:rsid w:val="00485A7B"/>
    <w:rsid w:val="00494CF2"/>
    <w:rsid w:val="00494D44"/>
    <w:rsid w:val="004A0FAB"/>
    <w:rsid w:val="004A4411"/>
    <w:rsid w:val="004B6F3B"/>
    <w:rsid w:val="004C4C2C"/>
    <w:rsid w:val="004E0AF9"/>
    <w:rsid w:val="004E2067"/>
    <w:rsid w:val="004F14A1"/>
    <w:rsid w:val="004F55C6"/>
    <w:rsid w:val="004F62F2"/>
    <w:rsid w:val="004F673F"/>
    <w:rsid w:val="004F7049"/>
    <w:rsid w:val="005012CC"/>
    <w:rsid w:val="0050264E"/>
    <w:rsid w:val="00512A63"/>
    <w:rsid w:val="00513723"/>
    <w:rsid w:val="00515A5E"/>
    <w:rsid w:val="00515DFF"/>
    <w:rsid w:val="00516AA7"/>
    <w:rsid w:val="0052012D"/>
    <w:rsid w:val="005226B2"/>
    <w:rsid w:val="00535668"/>
    <w:rsid w:val="00536AC2"/>
    <w:rsid w:val="00540DDA"/>
    <w:rsid w:val="005450CE"/>
    <w:rsid w:val="00557258"/>
    <w:rsid w:val="00567E8D"/>
    <w:rsid w:val="0057064A"/>
    <w:rsid w:val="005924BF"/>
    <w:rsid w:val="005A2819"/>
    <w:rsid w:val="005B03C0"/>
    <w:rsid w:val="005B07FA"/>
    <w:rsid w:val="005B3DDD"/>
    <w:rsid w:val="005B4AE3"/>
    <w:rsid w:val="005C28B6"/>
    <w:rsid w:val="005C3C4C"/>
    <w:rsid w:val="005C52CC"/>
    <w:rsid w:val="005D131A"/>
    <w:rsid w:val="005F00E6"/>
    <w:rsid w:val="005F1063"/>
    <w:rsid w:val="005F14ED"/>
    <w:rsid w:val="005F6AAE"/>
    <w:rsid w:val="00607D47"/>
    <w:rsid w:val="00611133"/>
    <w:rsid w:val="00613BEA"/>
    <w:rsid w:val="00623A23"/>
    <w:rsid w:val="0062687E"/>
    <w:rsid w:val="00632744"/>
    <w:rsid w:val="00640DEF"/>
    <w:rsid w:val="0064408C"/>
    <w:rsid w:val="006504CD"/>
    <w:rsid w:val="00653369"/>
    <w:rsid w:val="00653E96"/>
    <w:rsid w:val="00661FBB"/>
    <w:rsid w:val="00662773"/>
    <w:rsid w:val="00674622"/>
    <w:rsid w:val="006921F4"/>
    <w:rsid w:val="00695240"/>
    <w:rsid w:val="00696481"/>
    <w:rsid w:val="006A208B"/>
    <w:rsid w:val="006A275B"/>
    <w:rsid w:val="006A4C91"/>
    <w:rsid w:val="006A5EFA"/>
    <w:rsid w:val="006A7FE5"/>
    <w:rsid w:val="006B5AE6"/>
    <w:rsid w:val="006B63AC"/>
    <w:rsid w:val="006B6A0F"/>
    <w:rsid w:val="006C7327"/>
    <w:rsid w:val="006E1F38"/>
    <w:rsid w:val="006E5391"/>
    <w:rsid w:val="006E73FB"/>
    <w:rsid w:val="006F451C"/>
    <w:rsid w:val="006F6186"/>
    <w:rsid w:val="006F6CC5"/>
    <w:rsid w:val="006F6D01"/>
    <w:rsid w:val="006F7297"/>
    <w:rsid w:val="0070050F"/>
    <w:rsid w:val="007215E2"/>
    <w:rsid w:val="00722542"/>
    <w:rsid w:val="007308EA"/>
    <w:rsid w:val="00744233"/>
    <w:rsid w:val="00744830"/>
    <w:rsid w:val="00744E60"/>
    <w:rsid w:val="007451FA"/>
    <w:rsid w:val="007471BE"/>
    <w:rsid w:val="00754349"/>
    <w:rsid w:val="00754595"/>
    <w:rsid w:val="00755F88"/>
    <w:rsid w:val="00763A07"/>
    <w:rsid w:val="007727F7"/>
    <w:rsid w:val="00773C1E"/>
    <w:rsid w:val="00775BF9"/>
    <w:rsid w:val="00780C7D"/>
    <w:rsid w:val="00794F89"/>
    <w:rsid w:val="007A070C"/>
    <w:rsid w:val="007A081C"/>
    <w:rsid w:val="007A26A9"/>
    <w:rsid w:val="007B5C0C"/>
    <w:rsid w:val="007B7A03"/>
    <w:rsid w:val="007D3358"/>
    <w:rsid w:val="007D505E"/>
    <w:rsid w:val="007E321E"/>
    <w:rsid w:val="007F6F9A"/>
    <w:rsid w:val="008004A1"/>
    <w:rsid w:val="00800557"/>
    <w:rsid w:val="00805FDF"/>
    <w:rsid w:val="0080613C"/>
    <w:rsid w:val="008239C1"/>
    <w:rsid w:val="00825B5A"/>
    <w:rsid w:val="00836F9C"/>
    <w:rsid w:val="008377E9"/>
    <w:rsid w:val="00841771"/>
    <w:rsid w:val="008478E0"/>
    <w:rsid w:val="0085190D"/>
    <w:rsid w:val="00861B8B"/>
    <w:rsid w:val="008635B6"/>
    <w:rsid w:val="008648FD"/>
    <w:rsid w:val="00865336"/>
    <w:rsid w:val="00872FF6"/>
    <w:rsid w:val="00873681"/>
    <w:rsid w:val="00875BA1"/>
    <w:rsid w:val="008849D0"/>
    <w:rsid w:val="00890E13"/>
    <w:rsid w:val="008949CD"/>
    <w:rsid w:val="008A0F53"/>
    <w:rsid w:val="008A2E2F"/>
    <w:rsid w:val="008A4488"/>
    <w:rsid w:val="008B5EF7"/>
    <w:rsid w:val="008B5FB5"/>
    <w:rsid w:val="008B6F44"/>
    <w:rsid w:val="008B7A18"/>
    <w:rsid w:val="008B7A76"/>
    <w:rsid w:val="008C1B45"/>
    <w:rsid w:val="008C549D"/>
    <w:rsid w:val="008D3F83"/>
    <w:rsid w:val="008D77FC"/>
    <w:rsid w:val="008E494C"/>
    <w:rsid w:val="008F2230"/>
    <w:rsid w:val="00905D00"/>
    <w:rsid w:val="00907B58"/>
    <w:rsid w:val="00914137"/>
    <w:rsid w:val="00915D65"/>
    <w:rsid w:val="009239EB"/>
    <w:rsid w:val="00927C48"/>
    <w:rsid w:val="00931FB2"/>
    <w:rsid w:val="00932D79"/>
    <w:rsid w:val="00933853"/>
    <w:rsid w:val="00935C57"/>
    <w:rsid w:val="00936C76"/>
    <w:rsid w:val="00947D8F"/>
    <w:rsid w:val="009506FC"/>
    <w:rsid w:val="00952A93"/>
    <w:rsid w:val="00957240"/>
    <w:rsid w:val="00977F82"/>
    <w:rsid w:val="00981959"/>
    <w:rsid w:val="00985FF8"/>
    <w:rsid w:val="00986F59"/>
    <w:rsid w:val="00993A97"/>
    <w:rsid w:val="00994A76"/>
    <w:rsid w:val="009B1EE1"/>
    <w:rsid w:val="009C13FE"/>
    <w:rsid w:val="009C3DF5"/>
    <w:rsid w:val="009C6123"/>
    <w:rsid w:val="009D12B4"/>
    <w:rsid w:val="009D2E0B"/>
    <w:rsid w:val="009E13BF"/>
    <w:rsid w:val="009E4A2F"/>
    <w:rsid w:val="009E4AD2"/>
    <w:rsid w:val="009E5C39"/>
    <w:rsid w:val="009F0666"/>
    <w:rsid w:val="009F2CED"/>
    <w:rsid w:val="00A0396C"/>
    <w:rsid w:val="00A10D1E"/>
    <w:rsid w:val="00A12884"/>
    <w:rsid w:val="00A15AE1"/>
    <w:rsid w:val="00A231B8"/>
    <w:rsid w:val="00A25E03"/>
    <w:rsid w:val="00A26B72"/>
    <w:rsid w:val="00A26D19"/>
    <w:rsid w:val="00A32375"/>
    <w:rsid w:val="00A365E8"/>
    <w:rsid w:val="00A40A1F"/>
    <w:rsid w:val="00A456CB"/>
    <w:rsid w:val="00A47B34"/>
    <w:rsid w:val="00A506AE"/>
    <w:rsid w:val="00A52282"/>
    <w:rsid w:val="00A606F5"/>
    <w:rsid w:val="00A6759A"/>
    <w:rsid w:val="00A76840"/>
    <w:rsid w:val="00A82F5A"/>
    <w:rsid w:val="00A86CEF"/>
    <w:rsid w:val="00A90A7F"/>
    <w:rsid w:val="00A95164"/>
    <w:rsid w:val="00A9552E"/>
    <w:rsid w:val="00A978B2"/>
    <w:rsid w:val="00AA6A88"/>
    <w:rsid w:val="00AC1D5C"/>
    <w:rsid w:val="00AD275E"/>
    <w:rsid w:val="00AD44D1"/>
    <w:rsid w:val="00AD509E"/>
    <w:rsid w:val="00AE2440"/>
    <w:rsid w:val="00AE4BE7"/>
    <w:rsid w:val="00AF0A61"/>
    <w:rsid w:val="00AF5DE7"/>
    <w:rsid w:val="00B03D5D"/>
    <w:rsid w:val="00B113EA"/>
    <w:rsid w:val="00B117A0"/>
    <w:rsid w:val="00B118F7"/>
    <w:rsid w:val="00B120DC"/>
    <w:rsid w:val="00B12269"/>
    <w:rsid w:val="00B16286"/>
    <w:rsid w:val="00B16B33"/>
    <w:rsid w:val="00B20E3A"/>
    <w:rsid w:val="00B274A1"/>
    <w:rsid w:val="00B361B7"/>
    <w:rsid w:val="00B368F8"/>
    <w:rsid w:val="00B40C24"/>
    <w:rsid w:val="00B472CF"/>
    <w:rsid w:val="00B513D6"/>
    <w:rsid w:val="00B52D85"/>
    <w:rsid w:val="00B6037B"/>
    <w:rsid w:val="00B603B8"/>
    <w:rsid w:val="00B65534"/>
    <w:rsid w:val="00B75BDA"/>
    <w:rsid w:val="00B75E3E"/>
    <w:rsid w:val="00B75F1A"/>
    <w:rsid w:val="00B76547"/>
    <w:rsid w:val="00B8751B"/>
    <w:rsid w:val="00B94678"/>
    <w:rsid w:val="00BC48D8"/>
    <w:rsid w:val="00BC6EDB"/>
    <w:rsid w:val="00BD33AB"/>
    <w:rsid w:val="00BE4E59"/>
    <w:rsid w:val="00C00AC4"/>
    <w:rsid w:val="00C073CA"/>
    <w:rsid w:val="00C12023"/>
    <w:rsid w:val="00C23717"/>
    <w:rsid w:val="00C23A4A"/>
    <w:rsid w:val="00C35286"/>
    <w:rsid w:val="00C3746D"/>
    <w:rsid w:val="00C429A9"/>
    <w:rsid w:val="00C4773B"/>
    <w:rsid w:val="00C514FF"/>
    <w:rsid w:val="00C52D9A"/>
    <w:rsid w:val="00C53ECF"/>
    <w:rsid w:val="00C561DB"/>
    <w:rsid w:val="00C57A45"/>
    <w:rsid w:val="00C62992"/>
    <w:rsid w:val="00C65E10"/>
    <w:rsid w:val="00C6608B"/>
    <w:rsid w:val="00C66FC2"/>
    <w:rsid w:val="00C739A0"/>
    <w:rsid w:val="00C80FC9"/>
    <w:rsid w:val="00C8495B"/>
    <w:rsid w:val="00C92D43"/>
    <w:rsid w:val="00C959A7"/>
    <w:rsid w:val="00CA4AD8"/>
    <w:rsid w:val="00CB2DC3"/>
    <w:rsid w:val="00CB493F"/>
    <w:rsid w:val="00CC4639"/>
    <w:rsid w:val="00CD4593"/>
    <w:rsid w:val="00CD7D0B"/>
    <w:rsid w:val="00CE22E6"/>
    <w:rsid w:val="00CE325C"/>
    <w:rsid w:val="00CE735B"/>
    <w:rsid w:val="00CE775E"/>
    <w:rsid w:val="00CF2A81"/>
    <w:rsid w:val="00CF544F"/>
    <w:rsid w:val="00D02317"/>
    <w:rsid w:val="00D06C9B"/>
    <w:rsid w:val="00D1235F"/>
    <w:rsid w:val="00D158A6"/>
    <w:rsid w:val="00D30E0C"/>
    <w:rsid w:val="00D46385"/>
    <w:rsid w:val="00D54D2D"/>
    <w:rsid w:val="00D62D6F"/>
    <w:rsid w:val="00D6444E"/>
    <w:rsid w:val="00D6467B"/>
    <w:rsid w:val="00D665EE"/>
    <w:rsid w:val="00D74C42"/>
    <w:rsid w:val="00D901D7"/>
    <w:rsid w:val="00DA3711"/>
    <w:rsid w:val="00DA6CCB"/>
    <w:rsid w:val="00DB7A7A"/>
    <w:rsid w:val="00DD0613"/>
    <w:rsid w:val="00DE2224"/>
    <w:rsid w:val="00E02907"/>
    <w:rsid w:val="00E04435"/>
    <w:rsid w:val="00E1002B"/>
    <w:rsid w:val="00E1265B"/>
    <w:rsid w:val="00E142ED"/>
    <w:rsid w:val="00E15F06"/>
    <w:rsid w:val="00E23BC4"/>
    <w:rsid w:val="00E40EE7"/>
    <w:rsid w:val="00E41877"/>
    <w:rsid w:val="00E51B1B"/>
    <w:rsid w:val="00E54C3B"/>
    <w:rsid w:val="00E60731"/>
    <w:rsid w:val="00E6525B"/>
    <w:rsid w:val="00E65523"/>
    <w:rsid w:val="00E73FF6"/>
    <w:rsid w:val="00E75503"/>
    <w:rsid w:val="00E7771A"/>
    <w:rsid w:val="00E81928"/>
    <w:rsid w:val="00E93236"/>
    <w:rsid w:val="00E93E03"/>
    <w:rsid w:val="00EA2352"/>
    <w:rsid w:val="00EB5F08"/>
    <w:rsid w:val="00EC73F8"/>
    <w:rsid w:val="00ED017A"/>
    <w:rsid w:val="00ED61D3"/>
    <w:rsid w:val="00ED63EA"/>
    <w:rsid w:val="00ED6D02"/>
    <w:rsid w:val="00EE0FF4"/>
    <w:rsid w:val="00EE1456"/>
    <w:rsid w:val="00EE21AA"/>
    <w:rsid w:val="00EE48A0"/>
    <w:rsid w:val="00EE4C62"/>
    <w:rsid w:val="00EE7840"/>
    <w:rsid w:val="00EF0A6B"/>
    <w:rsid w:val="00EF66B1"/>
    <w:rsid w:val="00F04CDA"/>
    <w:rsid w:val="00F05F52"/>
    <w:rsid w:val="00F13B64"/>
    <w:rsid w:val="00F22DA9"/>
    <w:rsid w:val="00F22E54"/>
    <w:rsid w:val="00F37BC2"/>
    <w:rsid w:val="00F40BD3"/>
    <w:rsid w:val="00F465BC"/>
    <w:rsid w:val="00F472C5"/>
    <w:rsid w:val="00F564FB"/>
    <w:rsid w:val="00F71263"/>
    <w:rsid w:val="00F839C6"/>
    <w:rsid w:val="00F8639D"/>
    <w:rsid w:val="00F86555"/>
    <w:rsid w:val="00F9068A"/>
    <w:rsid w:val="00F9265C"/>
    <w:rsid w:val="00F9496D"/>
    <w:rsid w:val="00F9576D"/>
    <w:rsid w:val="00F95FAB"/>
    <w:rsid w:val="00FA3B95"/>
    <w:rsid w:val="00FA5B0A"/>
    <w:rsid w:val="00FA75DA"/>
    <w:rsid w:val="00FC107A"/>
    <w:rsid w:val="00FC2D21"/>
    <w:rsid w:val="00FC3B7B"/>
    <w:rsid w:val="00FD466C"/>
    <w:rsid w:val="00FD4EB8"/>
    <w:rsid w:val="00FE0CAE"/>
    <w:rsid w:val="00FE1F69"/>
    <w:rsid w:val="00FE4479"/>
    <w:rsid w:val="00FF709D"/>
    <w:rsid w:val="00FF7355"/>
    <w:rsid w:val="01D02AB4"/>
    <w:rsid w:val="03572FAB"/>
    <w:rsid w:val="0C4A4C4C"/>
    <w:rsid w:val="109C369E"/>
    <w:rsid w:val="119E7A04"/>
    <w:rsid w:val="12574E9E"/>
    <w:rsid w:val="139F6384"/>
    <w:rsid w:val="14446927"/>
    <w:rsid w:val="1ED67862"/>
    <w:rsid w:val="250E4B98"/>
    <w:rsid w:val="26653252"/>
    <w:rsid w:val="28EF560A"/>
    <w:rsid w:val="29002B5C"/>
    <w:rsid w:val="2B4A75FE"/>
    <w:rsid w:val="2C420784"/>
    <w:rsid w:val="2DB8513C"/>
    <w:rsid w:val="2E8D039C"/>
    <w:rsid w:val="2EEE3EE0"/>
    <w:rsid w:val="33B66B93"/>
    <w:rsid w:val="34260C22"/>
    <w:rsid w:val="36A529D7"/>
    <w:rsid w:val="3BF27085"/>
    <w:rsid w:val="3EB07399"/>
    <w:rsid w:val="40D50C1A"/>
    <w:rsid w:val="415B477C"/>
    <w:rsid w:val="430605FD"/>
    <w:rsid w:val="453A3EB0"/>
    <w:rsid w:val="45B02BBA"/>
    <w:rsid w:val="51AF0921"/>
    <w:rsid w:val="552D4F73"/>
    <w:rsid w:val="5E216EEE"/>
    <w:rsid w:val="5F444F88"/>
    <w:rsid w:val="62B34EDE"/>
    <w:rsid w:val="62E9437C"/>
    <w:rsid w:val="677139F9"/>
    <w:rsid w:val="68EB4961"/>
    <w:rsid w:val="71C904A2"/>
    <w:rsid w:val="78F7395A"/>
    <w:rsid w:val="797D727F"/>
    <w:rsid w:val="7E231045"/>
    <w:rsid w:val="7E2528A4"/>
    <w:rsid w:val="7EB4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87"/>
    <w:qFormat/>
    <w:uiPriority w:val="9"/>
    <w:pPr>
      <w:keepNext/>
      <w:keepLines/>
      <w:spacing w:before="340" w:after="330" w:line="578" w:lineRule="auto"/>
      <w:jc w:val="center"/>
      <w:outlineLvl w:val="0"/>
    </w:pPr>
    <w:rPr>
      <w:b/>
      <w:kern w:val="44"/>
      <w:sz w:val="44"/>
    </w:rPr>
  </w:style>
  <w:style w:type="paragraph" w:styleId="4">
    <w:name w:val="heading 2"/>
    <w:basedOn w:val="1"/>
    <w:next w:val="1"/>
    <w:link w:val="80"/>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5"/>
    <w:qFormat/>
    <w:uiPriority w:val="0"/>
    <w:pPr>
      <w:keepNext/>
      <w:keepLines/>
      <w:spacing w:before="260" w:after="260" w:line="416" w:lineRule="auto"/>
      <w:outlineLvl w:val="2"/>
    </w:pPr>
    <w:rPr>
      <w:b/>
      <w:bCs/>
      <w:sz w:val="32"/>
      <w:szCs w:val="32"/>
    </w:rPr>
  </w:style>
  <w:style w:type="paragraph" w:styleId="6">
    <w:name w:val="heading 4"/>
    <w:basedOn w:val="1"/>
    <w:next w:val="1"/>
    <w:link w:val="5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97"/>
    <w:qFormat/>
    <w:uiPriority w:val="0"/>
    <w:pPr>
      <w:keepNext/>
      <w:keepLines/>
      <w:spacing w:before="240" w:after="64" w:line="320" w:lineRule="auto"/>
      <w:outlineLvl w:val="5"/>
    </w:pPr>
    <w:rPr>
      <w:rFonts w:ascii="Calibri Light" w:hAnsi="Calibri Light"/>
      <w:b/>
      <w:bCs/>
      <w:sz w:val="24"/>
      <w:szCs w:val="24"/>
    </w:rPr>
  </w:style>
  <w:style w:type="paragraph" w:styleId="9">
    <w:name w:val="heading 7"/>
    <w:basedOn w:val="1"/>
    <w:next w:val="1"/>
    <w:link w:val="98"/>
    <w:qFormat/>
    <w:uiPriority w:val="0"/>
    <w:pPr>
      <w:keepNext/>
      <w:keepLines/>
      <w:spacing w:before="240" w:after="64" w:line="320" w:lineRule="auto"/>
      <w:outlineLvl w:val="6"/>
    </w:pPr>
    <w:rPr>
      <w:b/>
      <w:bCs/>
      <w:sz w:val="24"/>
      <w:szCs w:val="24"/>
    </w:rPr>
  </w:style>
  <w:style w:type="paragraph" w:styleId="10">
    <w:name w:val="heading 8"/>
    <w:basedOn w:val="1"/>
    <w:next w:val="1"/>
    <w:link w:val="108"/>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63"/>
    <w:qFormat/>
    <w:uiPriority w:val="0"/>
    <w:pPr>
      <w:keepNext/>
      <w:keepLines/>
      <w:spacing w:before="240" w:after="64" w:line="320" w:lineRule="auto"/>
      <w:outlineLvl w:val="8"/>
    </w:pPr>
    <w:rPr>
      <w:rFonts w:ascii="Arial" w:hAnsi="Arial" w:eastAsia="黑体"/>
      <w:szCs w:val="21"/>
    </w:rPr>
  </w:style>
  <w:style w:type="character" w:default="1" w:styleId="29">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47"/>
    <w:qFormat/>
    <w:uiPriority w:val="0"/>
    <w:pPr>
      <w:tabs>
        <w:tab w:val="left" w:pos="567"/>
      </w:tabs>
      <w:spacing w:before="120" w:line="22" w:lineRule="atLeast"/>
    </w:pPr>
    <w:rPr>
      <w:kern w:val="0"/>
      <w:sz w:val="20"/>
      <w:szCs w:val="24"/>
    </w:rPr>
  </w:style>
  <w:style w:type="paragraph" w:styleId="12">
    <w:name w:val="annotation subject"/>
    <w:basedOn w:val="13"/>
    <w:next w:val="13"/>
    <w:link w:val="110"/>
    <w:qFormat/>
    <w:uiPriority w:val="0"/>
    <w:rPr>
      <w:b/>
      <w:bCs/>
    </w:rPr>
  </w:style>
  <w:style w:type="paragraph" w:styleId="13">
    <w:name w:val="annotation text"/>
    <w:basedOn w:val="1"/>
    <w:link w:val="119"/>
    <w:qFormat/>
    <w:uiPriority w:val="99"/>
    <w:pPr>
      <w:jc w:val="left"/>
    </w:pPr>
    <w:rPr>
      <w:kern w:val="0"/>
      <w:sz w:val="20"/>
      <w:szCs w:val="24"/>
    </w:rPr>
  </w:style>
  <w:style w:type="paragraph" w:styleId="14">
    <w:name w:val="Normal Indent"/>
    <w:basedOn w:val="1"/>
    <w:qFormat/>
    <w:uiPriority w:val="0"/>
    <w:pPr>
      <w:autoSpaceDE w:val="0"/>
      <w:autoSpaceDN w:val="0"/>
      <w:adjustRightInd w:val="0"/>
      <w:ind w:firstLine="420"/>
      <w:jc w:val="left"/>
    </w:pPr>
    <w:rPr>
      <w:rFonts w:ascii="宋体"/>
      <w:kern w:val="0"/>
      <w:sz w:val="24"/>
    </w:rPr>
  </w:style>
  <w:style w:type="paragraph" w:styleId="15">
    <w:name w:val="Document Map"/>
    <w:basedOn w:val="1"/>
    <w:link w:val="113"/>
    <w:qFormat/>
    <w:uiPriority w:val="0"/>
    <w:pPr>
      <w:shd w:val="clear" w:color="auto" w:fill="000080"/>
    </w:pPr>
  </w:style>
  <w:style w:type="paragraph" w:styleId="16">
    <w:name w:val="Body Text Indent"/>
    <w:basedOn w:val="1"/>
    <w:link w:val="92"/>
    <w:qFormat/>
    <w:uiPriority w:val="0"/>
    <w:pPr>
      <w:ind w:firstLine="540"/>
    </w:pPr>
    <w:rPr>
      <w:sz w:val="28"/>
    </w:rPr>
  </w:style>
  <w:style w:type="paragraph" w:styleId="17">
    <w:name w:val="Plain Text"/>
    <w:basedOn w:val="1"/>
    <w:link w:val="104"/>
    <w:qFormat/>
    <w:uiPriority w:val="0"/>
    <w:rPr>
      <w:rFonts w:ascii="宋体" w:hAnsi="Courier New"/>
    </w:rPr>
  </w:style>
  <w:style w:type="paragraph" w:styleId="18">
    <w:name w:val="Date"/>
    <w:basedOn w:val="1"/>
    <w:next w:val="1"/>
    <w:link w:val="99"/>
    <w:qFormat/>
    <w:uiPriority w:val="99"/>
    <w:rPr>
      <w:sz w:val="28"/>
    </w:rPr>
  </w:style>
  <w:style w:type="paragraph" w:styleId="19">
    <w:name w:val="Body Text Indent 2"/>
    <w:basedOn w:val="1"/>
    <w:link w:val="59"/>
    <w:qFormat/>
    <w:uiPriority w:val="0"/>
    <w:pPr>
      <w:spacing w:after="120" w:line="480" w:lineRule="auto"/>
      <w:ind w:left="420" w:leftChars="200"/>
    </w:pPr>
  </w:style>
  <w:style w:type="paragraph" w:styleId="20">
    <w:name w:val="endnote text"/>
    <w:basedOn w:val="1"/>
    <w:link w:val="68"/>
    <w:qFormat/>
    <w:uiPriority w:val="0"/>
    <w:pPr>
      <w:snapToGrid w:val="0"/>
      <w:jc w:val="left"/>
    </w:pPr>
    <w:rPr>
      <w:szCs w:val="24"/>
    </w:rPr>
  </w:style>
  <w:style w:type="paragraph" w:styleId="21">
    <w:name w:val="Balloon Text"/>
    <w:basedOn w:val="1"/>
    <w:link w:val="106"/>
    <w:qFormat/>
    <w:uiPriority w:val="0"/>
    <w:rPr>
      <w:sz w:val="18"/>
      <w:szCs w:val="18"/>
    </w:rPr>
  </w:style>
  <w:style w:type="paragraph" w:styleId="22">
    <w:name w:val="footer"/>
    <w:basedOn w:val="1"/>
    <w:link w:val="109"/>
    <w:qFormat/>
    <w:uiPriority w:val="99"/>
    <w:pPr>
      <w:tabs>
        <w:tab w:val="center" w:pos="4153"/>
        <w:tab w:val="right" w:pos="8306"/>
      </w:tabs>
      <w:snapToGrid w:val="0"/>
      <w:jc w:val="left"/>
    </w:pPr>
    <w:rPr>
      <w:sz w:val="18"/>
    </w:rPr>
  </w:style>
  <w:style w:type="paragraph" w:styleId="23">
    <w:name w:val="header"/>
    <w:basedOn w:val="1"/>
    <w:link w:val="116"/>
    <w:qFormat/>
    <w:uiPriority w:val="0"/>
    <w:pPr>
      <w:pBdr>
        <w:bottom w:val="single" w:color="auto" w:sz="6" w:space="1"/>
      </w:pBdr>
      <w:tabs>
        <w:tab w:val="center" w:pos="4153"/>
        <w:tab w:val="right" w:pos="8306"/>
      </w:tabs>
      <w:snapToGrid w:val="0"/>
      <w:jc w:val="center"/>
    </w:pPr>
    <w:rPr>
      <w:sz w:val="18"/>
    </w:rPr>
  </w:style>
  <w:style w:type="paragraph" w:styleId="24">
    <w:name w:val="Body Text Indent 3"/>
    <w:basedOn w:val="1"/>
    <w:link w:val="107"/>
    <w:qFormat/>
    <w:uiPriority w:val="0"/>
    <w:pPr>
      <w:ind w:left="2" w:firstLine="628"/>
    </w:pPr>
    <w:rPr>
      <w:rFonts w:ascii="Arial" w:hAnsi="Arial" w:eastAsia="仿宋_GB2312"/>
      <w:b/>
      <w:sz w:val="32"/>
    </w:rPr>
  </w:style>
  <w:style w:type="paragraph" w:styleId="25">
    <w:name w:val="HTML Preformatted"/>
    <w:basedOn w:val="1"/>
    <w:link w:val="1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index 1"/>
    <w:basedOn w:val="1"/>
    <w:next w:val="1"/>
    <w:qFormat/>
    <w:uiPriority w:val="0"/>
  </w:style>
  <w:style w:type="paragraph" w:styleId="28">
    <w:name w:val="Title"/>
    <w:basedOn w:val="1"/>
    <w:link w:val="50"/>
    <w:qFormat/>
    <w:uiPriority w:val="0"/>
    <w:pPr>
      <w:jc w:val="center"/>
    </w:pPr>
    <w:rPr>
      <w:sz w:val="32"/>
      <w:szCs w:val="24"/>
    </w:rPr>
  </w:style>
  <w:style w:type="character" w:styleId="30">
    <w:name w:val="Strong"/>
    <w:qFormat/>
    <w:uiPriority w:val="0"/>
    <w:rPr>
      <w:b/>
      <w:bCs/>
    </w:rPr>
  </w:style>
  <w:style w:type="character" w:styleId="31">
    <w:name w:val="endnote reference"/>
    <w:qFormat/>
    <w:uiPriority w:val="0"/>
    <w:rPr>
      <w:vertAlign w:val="superscript"/>
    </w:rPr>
  </w:style>
  <w:style w:type="character" w:styleId="32">
    <w:name w:val="page number"/>
    <w:qFormat/>
    <w:uiPriority w:val="0"/>
  </w:style>
  <w:style w:type="character" w:styleId="33">
    <w:name w:val="FollowedHyperlink"/>
    <w:qFormat/>
    <w:uiPriority w:val="0"/>
    <w:rPr>
      <w:color w:val="800080"/>
      <w:u w:val="single"/>
    </w:rPr>
  </w:style>
  <w:style w:type="character" w:styleId="34">
    <w:name w:val="Emphasis"/>
    <w:basedOn w:val="29"/>
    <w:qFormat/>
    <w:uiPriority w:val="0"/>
  </w:style>
  <w:style w:type="character" w:styleId="35">
    <w:name w:val="HTML Definition"/>
    <w:unhideWhenUsed/>
    <w:qFormat/>
    <w:uiPriority w:val="0"/>
    <w:rPr>
      <w:i/>
      <w:color w:val="337AB7"/>
      <w:u w:val="none"/>
    </w:rPr>
  </w:style>
  <w:style w:type="character" w:styleId="36">
    <w:name w:val="HTML Variable"/>
    <w:basedOn w:val="29"/>
    <w:qFormat/>
    <w:uiPriority w:val="0"/>
  </w:style>
  <w:style w:type="character" w:styleId="37">
    <w:name w:val="Hyperlink"/>
    <w:unhideWhenUsed/>
    <w:qFormat/>
    <w:uiPriority w:val="99"/>
    <w:rPr>
      <w:color w:val="0000FF"/>
      <w:u w:val="single"/>
    </w:rPr>
  </w:style>
  <w:style w:type="character" w:styleId="38">
    <w:name w:val="HTML Code"/>
    <w:unhideWhenUsed/>
    <w:qFormat/>
    <w:uiPriority w:val="0"/>
    <w:rPr>
      <w:rFonts w:hint="default" w:ascii="Menlo" w:hAnsi="Menlo" w:eastAsia="Menlo" w:cs="Menlo"/>
      <w:color w:val="C7254E"/>
      <w:sz w:val="21"/>
      <w:szCs w:val="21"/>
      <w:shd w:val="clear" w:color="auto" w:fill="F9F2F4"/>
    </w:rPr>
  </w:style>
  <w:style w:type="character" w:styleId="39">
    <w:name w:val="annotation reference"/>
    <w:qFormat/>
    <w:uiPriority w:val="0"/>
    <w:rPr>
      <w:rFonts w:cs="Times New Roman"/>
      <w:sz w:val="21"/>
      <w:szCs w:val="21"/>
    </w:rPr>
  </w:style>
  <w:style w:type="character" w:styleId="40">
    <w:name w:val="HTML Cite"/>
    <w:basedOn w:val="29"/>
    <w:qFormat/>
    <w:uiPriority w:val="0"/>
  </w:style>
  <w:style w:type="character" w:styleId="41">
    <w:name w:val="HTML Keyboard"/>
    <w:unhideWhenUsed/>
    <w:qFormat/>
    <w:uiPriority w:val="0"/>
    <w:rPr>
      <w:rFonts w:ascii="Menlo" w:hAnsi="Menlo" w:eastAsia="Menlo" w:cs="Menlo"/>
      <w:color w:val="FFFFFF"/>
      <w:sz w:val="21"/>
      <w:szCs w:val="21"/>
      <w:shd w:val="clear" w:color="auto" w:fill="333333"/>
    </w:rPr>
  </w:style>
  <w:style w:type="character" w:styleId="42">
    <w:name w:val="HTML Sample"/>
    <w:unhideWhenUsed/>
    <w:qFormat/>
    <w:uiPriority w:val="0"/>
    <w:rPr>
      <w:rFonts w:hint="default" w:ascii="Menlo" w:hAnsi="Menlo" w:eastAsia="Menlo" w:cs="Menlo"/>
      <w:sz w:val="21"/>
      <w:szCs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5">
    <w:name w:val="font11"/>
    <w:qFormat/>
    <w:uiPriority w:val="0"/>
    <w:rPr>
      <w:rFonts w:hint="eastAsia" w:ascii="宋体" w:hAnsi="宋体" w:eastAsia="宋体" w:cs="宋体"/>
      <w:color w:val="000000"/>
      <w:sz w:val="21"/>
      <w:szCs w:val="21"/>
      <w:u w:val="none"/>
    </w:rPr>
  </w:style>
  <w:style w:type="character" w:customStyle="1" w:styleId="46">
    <w:name w:val="合同标题 Char1"/>
    <w:qFormat/>
    <w:uiPriority w:val="0"/>
    <w:rPr>
      <w:rFonts w:ascii="宋体" w:eastAsia="宋体"/>
      <w:b/>
      <w:kern w:val="44"/>
      <w:sz w:val="32"/>
      <w:lang w:val="en-US" w:eastAsia="zh-CN" w:bidi="ar-SA"/>
    </w:rPr>
  </w:style>
  <w:style w:type="character" w:customStyle="1" w:styleId="47">
    <w:name w:val="正文文本 Char"/>
    <w:link w:val="2"/>
    <w:qFormat/>
    <w:uiPriority w:val="0"/>
    <w:rPr>
      <w:szCs w:val="24"/>
    </w:rPr>
  </w:style>
  <w:style w:type="character" w:customStyle="1" w:styleId="48">
    <w:name w:val="正文项目符号 Char"/>
    <w:link w:val="49"/>
    <w:qFormat/>
    <w:uiPriority w:val="0"/>
    <w:rPr>
      <w:sz w:val="24"/>
      <w:szCs w:val="24"/>
    </w:rPr>
  </w:style>
  <w:style w:type="paragraph" w:customStyle="1" w:styleId="49">
    <w:name w:val="正文项目符号"/>
    <w:basedOn w:val="1"/>
    <w:link w:val="48"/>
    <w:qFormat/>
    <w:uiPriority w:val="0"/>
    <w:pPr>
      <w:spacing w:line="360" w:lineRule="auto"/>
      <w:ind w:left="840" w:hanging="420"/>
    </w:pPr>
    <w:rPr>
      <w:kern w:val="0"/>
      <w:sz w:val="24"/>
      <w:szCs w:val="24"/>
    </w:rPr>
  </w:style>
  <w:style w:type="character" w:customStyle="1" w:styleId="50">
    <w:name w:val="标题 Char"/>
    <w:link w:val="28"/>
    <w:qFormat/>
    <w:uiPriority w:val="0"/>
    <w:rPr>
      <w:kern w:val="2"/>
      <w:sz w:val="32"/>
      <w:szCs w:val="24"/>
    </w:rPr>
  </w:style>
  <w:style w:type="character" w:customStyle="1" w:styleId="51">
    <w:name w:val="页码1"/>
    <w:qFormat/>
    <w:uiPriority w:val="0"/>
  </w:style>
  <w:style w:type="character" w:customStyle="1" w:styleId="52">
    <w:name w:val="t-ajax-wait"/>
    <w:qFormat/>
    <w:uiPriority w:val="0"/>
  </w:style>
  <w:style w:type="character" w:customStyle="1" w:styleId="53">
    <w:name w:val="样式1 Char"/>
    <w:qFormat/>
    <w:uiPriority w:val="0"/>
    <w:rPr>
      <w:rFonts w:ascii="宋体" w:hAnsi="宋体" w:eastAsia="宋体"/>
      <w:sz w:val="21"/>
      <w:szCs w:val="21"/>
      <w:lang w:val="en-US" w:eastAsia="zh-CN" w:bidi="ar-SA"/>
    </w:rPr>
  </w:style>
  <w:style w:type="character" w:customStyle="1" w:styleId="54">
    <w:name w:val="标题 4 Char"/>
    <w:link w:val="6"/>
    <w:qFormat/>
    <w:uiPriority w:val="0"/>
    <w:rPr>
      <w:rFonts w:ascii="Arial" w:hAnsi="Arial" w:eastAsia="黑体"/>
      <w:b/>
      <w:bCs/>
      <w:kern w:val="2"/>
      <w:sz w:val="28"/>
      <w:szCs w:val="28"/>
    </w:rPr>
  </w:style>
  <w:style w:type="character" w:customStyle="1" w:styleId="55">
    <w:name w:val="表格1 Char"/>
    <w:link w:val="56"/>
    <w:qFormat/>
    <w:uiPriority w:val="0"/>
    <w:rPr>
      <w:rFonts w:ascii="宋体" w:hAnsi="宋体"/>
      <w:sz w:val="21"/>
      <w:szCs w:val="21"/>
      <w:lang w:eastAsia="en-US" w:bidi="en-US"/>
    </w:rPr>
  </w:style>
  <w:style w:type="paragraph" w:customStyle="1" w:styleId="56">
    <w:name w:val="表格1"/>
    <w:basedOn w:val="1"/>
    <w:link w:val="55"/>
    <w:qFormat/>
    <w:uiPriority w:val="0"/>
    <w:pPr>
      <w:widowControl/>
      <w:snapToGrid w:val="0"/>
      <w:jc w:val="left"/>
    </w:pPr>
    <w:rPr>
      <w:rFonts w:ascii="宋体" w:hAnsi="宋体"/>
      <w:kern w:val="0"/>
      <w:szCs w:val="21"/>
      <w:lang w:eastAsia="en-US" w:bidi="en-US"/>
    </w:rPr>
  </w:style>
  <w:style w:type="character" w:customStyle="1" w:styleId="57">
    <w:name w:val="批注引用1"/>
    <w:qFormat/>
    <w:uiPriority w:val="0"/>
    <w:rPr>
      <w:sz w:val="21"/>
      <w:szCs w:val="21"/>
    </w:rPr>
  </w:style>
  <w:style w:type="character" w:customStyle="1" w:styleId="58">
    <w:name w:val="Plain Text Char"/>
    <w:qFormat/>
    <w:uiPriority w:val="0"/>
    <w:rPr>
      <w:rFonts w:ascii="宋体" w:hAnsi="Courier New" w:cs="Courier New"/>
      <w:szCs w:val="21"/>
    </w:rPr>
  </w:style>
  <w:style w:type="character" w:customStyle="1" w:styleId="59">
    <w:name w:val="正文文本缩进 2 Char"/>
    <w:link w:val="19"/>
    <w:qFormat/>
    <w:uiPriority w:val="0"/>
    <w:rPr>
      <w:kern w:val="2"/>
      <w:sz w:val="21"/>
    </w:rPr>
  </w:style>
  <w:style w:type="character" w:customStyle="1" w:styleId="60">
    <w:name w:val="font61"/>
    <w:qFormat/>
    <w:uiPriority w:val="0"/>
    <w:rPr>
      <w:rFonts w:hint="eastAsia" w:ascii="宋体" w:hAnsi="宋体" w:eastAsia="宋体" w:cs="宋体"/>
      <w:color w:val="000000"/>
      <w:sz w:val="22"/>
      <w:szCs w:val="22"/>
      <w:u w:val="none"/>
    </w:rPr>
  </w:style>
  <w:style w:type="character" w:customStyle="1" w:styleId="61">
    <w:name w:val="正文文本 Char1"/>
    <w:qFormat/>
    <w:uiPriority w:val="99"/>
    <w:rPr>
      <w:kern w:val="2"/>
      <w:sz w:val="21"/>
    </w:rPr>
  </w:style>
  <w:style w:type="character" w:customStyle="1" w:styleId="62">
    <w:name w:val="style12"/>
    <w:qFormat/>
    <w:uiPriority w:val="0"/>
    <w:rPr>
      <w:rFonts w:hint="default" w:ascii="ˎ̥" w:hAnsi="ˎ̥"/>
      <w:sz w:val="20"/>
      <w:szCs w:val="20"/>
    </w:rPr>
  </w:style>
  <w:style w:type="character" w:customStyle="1" w:styleId="63">
    <w:name w:val="标题 9 Char"/>
    <w:link w:val="11"/>
    <w:qFormat/>
    <w:uiPriority w:val="0"/>
    <w:rPr>
      <w:rFonts w:ascii="Arial" w:hAnsi="Arial" w:eastAsia="黑体"/>
      <w:kern w:val="2"/>
      <w:sz w:val="21"/>
      <w:szCs w:val="21"/>
    </w:rPr>
  </w:style>
  <w:style w:type="character" w:customStyle="1" w:styleId="64">
    <w:name w:val="标题 5 Char"/>
    <w:link w:val="7"/>
    <w:qFormat/>
    <w:uiPriority w:val="0"/>
    <w:rPr>
      <w:b/>
      <w:bCs/>
      <w:sz w:val="28"/>
      <w:szCs w:val="28"/>
    </w:rPr>
  </w:style>
  <w:style w:type="character" w:customStyle="1" w:styleId="65">
    <w:name w:val="正文字缩2字 Char Char"/>
    <w:link w:val="66"/>
    <w:qFormat/>
    <w:uiPriority w:val="0"/>
    <w:rPr>
      <w:sz w:val="24"/>
      <w:szCs w:val="24"/>
    </w:rPr>
  </w:style>
  <w:style w:type="paragraph" w:customStyle="1" w:styleId="66">
    <w:name w:val="正文字缩2字"/>
    <w:basedOn w:val="1"/>
    <w:link w:val="65"/>
    <w:qFormat/>
    <w:uiPriority w:val="0"/>
    <w:pPr>
      <w:spacing w:before="60" w:after="60" w:line="360" w:lineRule="auto"/>
      <w:ind w:left="200" w:leftChars="200" w:firstLine="200" w:firstLineChars="200"/>
    </w:pPr>
    <w:rPr>
      <w:kern w:val="0"/>
      <w:sz w:val="24"/>
      <w:szCs w:val="24"/>
    </w:rPr>
  </w:style>
  <w:style w:type="character" w:customStyle="1" w:styleId="67">
    <w:name w:val="Header Char"/>
    <w:qFormat/>
    <w:uiPriority w:val="0"/>
    <w:rPr>
      <w:sz w:val="18"/>
      <w:szCs w:val="18"/>
    </w:rPr>
  </w:style>
  <w:style w:type="character" w:customStyle="1" w:styleId="68">
    <w:name w:val="尾注文本 Char"/>
    <w:link w:val="20"/>
    <w:qFormat/>
    <w:uiPriority w:val="0"/>
    <w:rPr>
      <w:kern w:val="2"/>
      <w:sz w:val="21"/>
      <w:szCs w:val="24"/>
    </w:rPr>
  </w:style>
  <w:style w:type="character" w:customStyle="1" w:styleId="69">
    <w:name w:val="批注主题 Char1"/>
    <w:qFormat/>
    <w:uiPriority w:val="99"/>
    <w:rPr>
      <w:b/>
      <w:bCs/>
      <w:kern w:val="2"/>
      <w:sz w:val="21"/>
    </w:rPr>
  </w:style>
  <w:style w:type="character" w:customStyle="1" w:styleId="70">
    <w:name w:val="current"/>
    <w:qFormat/>
    <w:uiPriority w:val="0"/>
    <w:rPr>
      <w:color w:val="FFFFFF"/>
      <w:sz w:val="27"/>
      <w:szCs w:val="27"/>
      <w:u w:val="none"/>
      <w:bdr w:val="single" w:color="C0C0C0" w:sz="6" w:space="0"/>
      <w:shd w:val="clear" w:color="auto" w:fill="809FFF"/>
    </w:rPr>
  </w:style>
  <w:style w:type="character" w:customStyle="1" w:styleId="71">
    <w:name w:val="批注文字 Char1"/>
    <w:qFormat/>
    <w:uiPriority w:val="99"/>
    <w:rPr>
      <w:kern w:val="2"/>
      <w:sz w:val="21"/>
    </w:rPr>
  </w:style>
  <w:style w:type="character" w:customStyle="1" w:styleId="72">
    <w:name w:val="我的正文 Char"/>
    <w:link w:val="73"/>
    <w:qFormat/>
    <w:locked/>
    <w:uiPriority w:val="0"/>
    <w:rPr>
      <w:rFonts w:eastAsia="仿宋_GB2312" w:cs="宋体"/>
      <w:sz w:val="24"/>
    </w:rPr>
  </w:style>
  <w:style w:type="paragraph" w:customStyle="1" w:styleId="73">
    <w:name w:val="我的正文"/>
    <w:basedOn w:val="1"/>
    <w:link w:val="72"/>
    <w:qFormat/>
    <w:uiPriority w:val="0"/>
    <w:pPr>
      <w:spacing w:line="360" w:lineRule="auto"/>
      <w:ind w:firstLine="480" w:firstLineChars="200"/>
    </w:pPr>
    <w:rPr>
      <w:rFonts w:eastAsia="仿宋_GB2312"/>
      <w:kern w:val="0"/>
      <w:sz w:val="24"/>
    </w:rPr>
  </w:style>
  <w:style w:type="character" w:customStyle="1" w:styleId="74">
    <w:name w:val="t-exception-stack-controls"/>
    <w:qFormat/>
    <w:uiPriority w:val="0"/>
  </w:style>
  <w:style w:type="character" w:customStyle="1" w:styleId="75">
    <w:name w:val="列出段落 Char"/>
    <w:link w:val="76"/>
    <w:qFormat/>
    <w:uiPriority w:val="34"/>
    <w:rPr>
      <w:rFonts w:ascii="Calibri" w:hAnsi="Calibri"/>
      <w:kern w:val="2"/>
      <w:sz w:val="21"/>
      <w:szCs w:val="22"/>
    </w:rPr>
  </w:style>
  <w:style w:type="paragraph" w:customStyle="1" w:styleId="76">
    <w:name w:val="列出段落1"/>
    <w:basedOn w:val="1"/>
    <w:link w:val="75"/>
    <w:qFormat/>
    <w:uiPriority w:val="34"/>
    <w:pPr>
      <w:ind w:firstLine="420" w:firstLineChars="200"/>
    </w:pPr>
    <w:rPr>
      <w:rFonts w:ascii="Calibri" w:hAnsi="Calibri"/>
      <w:szCs w:val="22"/>
    </w:rPr>
  </w:style>
  <w:style w:type="character" w:customStyle="1" w:styleId="77">
    <w:name w:val="kadertje1"/>
    <w:qFormat/>
    <w:uiPriority w:val="0"/>
    <w:rPr>
      <w:rFonts w:hint="default" w:ascii="Lucida Sans" w:hAnsi="Lucida Sans"/>
      <w:sz w:val="15"/>
      <w:szCs w:val="15"/>
    </w:rPr>
  </w:style>
  <w:style w:type="character" w:customStyle="1" w:styleId="78">
    <w:name w:val="apple-converted-space"/>
    <w:qFormat/>
    <w:uiPriority w:val="0"/>
  </w:style>
  <w:style w:type="character" w:customStyle="1" w:styleId="79">
    <w:name w:val="t-render-object-error"/>
    <w:qFormat/>
    <w:uiPriority w:val="0"/>
    <w:rPr>
      <w:b/>
      <w:i/>
      <w:color w:val="FF0000"/>
    </w:rPr>
  </w:style>
  <w:style w:type="character" w:customStyle="1" w:styleId="80">
    <w:name w:val="标题 2 Char"/>
    <w:link w:val="4"/>
    <w:qFormat/>
    <w:uiPriority w:val="0"/>
    <w:rPr>
      <w:rFonts w:ascii="Arial" w:hAnsi="Arial" w:eastAsia="黑体"/>
      <w:b/>
      <w:bCs/>
      <w:kern w:val="2"/>
      <w:sz w:val="32"/>
      <w:szCs w:val="32"/>
    </w:rPr>
  </w:style>
  <w:style w:type="character" w:customStyle="1" w:styleId="81">
    <w:name w:val="标准正文 Char"/>
    <w:link w:val="82"/>
    <w:qFormat/>
    <w:locked/>
    <w:uiPriority w:val="0"/>
    <w:rPr>
      <w:rFonts w:ascii="宋体" w:hAnsi="宋体"/>
      <w:spacing w:val="-4"/>
      <w:kern w:val="21"/>
      <w:sz w:val="24"/>
      <w:szCs w:val="24"/>
    </w:rPr>
  </w:style>
  <w:style w:type="paragraph" w:customStyle="1" w:styleId="82">
    <w:name w:val="标准正文"/>
    <w:basedOn w:val="1"/>
    <w:link w:val="81"/>
    <w:qFormat/>
    <w:uiPriority w:val="0"/>
    <w:pPr>
      <w:adjustRightInd w:val="0"/>
      <w:spacing w:line="360" w:lineRule="atLeast"/>
      <w:ind w:firstLine="425"/>
      <w:jc w:val="left"/>
      <w:textAlignment w:val="baseline"/>
    </w:pPr>
    <w:rPr>
      <w:rFonts w:ascii="宋体" w:hAnsi="宋体"/>
      <w:spacing w:val="-4"/>
      <w:kern w:val="21"/>
      <w:sz w:val="24"/>
      <w:szCs w:val="24"/>
    </w:rPr>
  </w:style>
  <w:style w:type="character" w:customStyle="1" w:styleId="83">
    <w:name w:val="列出段落1 Char"/>
    <w:link w:val="84"/>
    <w:qFormat/>
    <w:uiPriority w:val="0"/>
    <w:rPr>
      <w:kern w:val="2"/>
      <w:sz w:val="21"/>
      <w:szCs w:val="24"/>
    </w:rPr>
  </w:style>
  <w:style w:type="paragraph" w:customStyle="1" w:styleId="84">
    <w:name w:val="列出段落11"/>
    <w:basedOn w:val="1"/>
    <w:link w:val="83"/>
    <w:qFormat/>
    <w:uiPriority w:val="0"/>
    <w:pPr>
      <w:ind w:firstLine="420" w:firstLineChars="200"/>
    </w:pPr>
    <w:rPr>
      <w:szCs w:val="24"/>
    </w:rPr>
  </w:style>
  <w:style w:type="character" w:customStyle="1" w:styleId="85">
    <w:name w:val="标题 3 Char"/>
    <w:link w:val="5"/>
    <w:qFormat/>
    <w:uiPriority w:val="0"/>
    <w:rPr>
      <w:b/>
      <w:bCs/>
      <w:kern w:val="2"/>
      <w:sz w:val="32"/>
      <w:szCs w:val="32"/>
    </w:rPr>
  </w:style>
  <w:style w:type="character" w:customStyle="1" w:styleId="86">
    <w:name w:val="Page Number1"/>
    <w:qFormat/>
    <w:uiPriority w:val="99"/>
  </w:style>
  <w:style w:type="character" w:customStyle="1" w:styleId="87">
    <w:name w:val="标题 1 Char"/>
    <w:link w:val="3"/>
    <w:qFormat/>
    <w:uiPriority w:val="0"/>
    <w:rPr>
      <w:b/>
      <w:kern w:val="44"/>
      <w:sz w:val="44"/>
    </w:rPr>
  </w:style>
  <w:style w:type="character" w:customStyle="1" w:styleId="88">
    <w:name w:val="font01"/>
    <w:qFormat/>
    <w:uiPriority w:val="0"/>
    <w:rPr>
      <w:rFonts w:ascii="font-weight : 400" w:hAnsi="font-weight : 400" w:eastAsia="font-weight : 400" w:cs="font-weight : 400"/>
      <w:color w:val="000000"/>
      <w:sz w:val="22"/>
      <w:szCs w:val="22"/>
      <w:u w:val="none"/>
    </w:rPr>
  </w:style>
  <w:style w:type="character" w:customStyle="1" w:styleId="89">
    <w:name w:val="C503-正文格式 Char"/>
    <w:link w:val="90"/>
    <w:qFormat/>
    <w:uiPriority w:val="0"/>
    <w:rPr>
      <w:sz w:val="24"/>
    </w:rPr>
  </w:style>
  <w:style w:type="paragraph" w:customStyle="1" w:styleId="90">
    <w:name w:val="C503-正文格式"/>
    <w:basedOn w:val="1"/>
    <w:link w:val="89"/>
    <w:qFormat/>
    <w:uiPriority w:val="0"/>
    <w:pPr>
      <w:spacing w:line="360" w:lineRule="auto"/>
      <w:ind w:firstLine="480" w:firstLineChars="200"/>
    </w:pPr>
    <w:rPr>
      <w:kern w:val="0"/>
      <w:sz w:val="24"/>
    </w:rPr>
  </w:style>
  <w:style w:type="character" w:customStyle="1" w:styleId="91">
    <w:name w:val="hover15"/>
    <w:qFormat/>
    <w:uiPriority w:val="0"/>
    <w:rPr>
      <w:color w:val="FFFFFF"/>
      <w:shd w:val="clear" w:color="auto" w:fill="00C1B3"/>
    </w:rPr>
  </w:style>
  <w:style w:type="character" w:customStyle="1" w:styleId="92">
    <w:name w:val="正文文本缩进 Char"/>
    <w:link w:val="16"/>
    <w:qFormat/>
    <w:uiPriority w:val="0"/>
    <w:rPr>
      <w:kern w:val="2"/>
      <w:sz w:val="28"/>
    </w:rPr>
  </w:style>
  <w:style w:type="character" w:customStyle="1" w:styleId="93">
    <w:name w:val="hover12"/>
    <w:qFormat/>
    <w:uiPriority w:val="0"/>
    <w:rPr>
      <w:color w:val="FFFFFF"/>
      <w:shd w:val="clear" w:color="auto" w:fill="00C1B3"/>
    </w:rPr>
  </w:style>
  <w:style w:type="character" w:customStyle="1" w:styleId="94">
    <w:name w:val="font71"/>
    <w:qFormat/>
    <w:uiPriority w:val="0"/>
    <w:rPr>
      <w:rFonts w:hint="eastAsia" w:ascii="宋体" w:hAnsi="宋体" w:eastAsia="宋体" w:cs="宋体"/>
      <w:color w:val="000000"/>
      <w:sz w:val="16"/>
      <w:szCs w:val="16"/>
      <w:u w:val="none"/>
    </w:rPr>
  </w:style>
  <w:style w:type="character" w:customStyle="1" w:styleId="95">
    <w:name w:val="纯文本 Char1"/>
    <w:qFormat/>
    <w:uiPriority w:val="0"/>
    <w:rPr>
      <w:rFonts w:ascii="宋体" w:hAnsi="Courier New" w:cs="Courier New"/>
      <w:kern w:val="2"/>
      <w:sz w:val="21"/>
      <w:szCs w:val="21"/>
    </w:rPr>
  </w:style>
  <w:style w:type="character" w:customStyle="1" w:styleId="96">
    <w:name w:val="font31"/>
    <w:qFormat/>
    <w:uiPriority w:val="0"/>
    <w:rPr>
      <w:rFonts w:hint="eastAsia" w:ascii="宋体" w:hAnsi="宋体" w:eastAsia="宋体" w:cs="宋体"/>
      <w:color w:val="000000"/>
      <w:sz w:val="24"/>
      <w:szCs w:val="24"/>
      <w:u w:val="none"/>
    </w:rPr>
  </w:style>
  <w:style w:type="character" w:customStyle="1" w:styleId="97">
    <w:name w:val="标题 6 Char"/>
    <w:link w:val="8"/>
    <w:qFormat/>
    <w:uiPriority w:val="0"/>
    <w:rPr>
      <w:rFonts w:ascii="Calibri Light" w:hAnsi="Calibri Light"/>
      <w:b/>
      <w:bCs/>
      <w:kern w:val="2"/>
      <w:sz w:val="24"/>
      <w:szCs w:val="24"/>
    </w:rPr>
  </w:style>
  <w:style w:type="character" w:customStyle="1" w:styleId="98">
    <w:name w:val="标题 7 Char"/>
    <w:link w:val="9"/>
    <w:qFormat/>
    <w:uiPriority w:val="0"/>
    <w:rPr>
      <w:b/>
      <w:bCs/>
      <w:kern w:val="2"/>
      <w:sz w:val="24"/>
      <w:szCs w:val="24"/>
    </w:rPr>
  </w:style>
  <w:style w:type="character" w:customStyle="1" w:styleId="99">
    <w:name w:val="日期 Char"/>
    <w:link w:val="18"/>
    <w:qFormat/>
    <w:uiPriority w:val="99"/>
    <w:rPr>
      <w:kern w:val="2"/>
      <w:sz w:val="28"/>
    </w:rPr>
  </w:style>
  <w:style w:type="character" w:customStyle="1" w:styleId="100">
    <w:name w:val="样式 小四"/>
    <w:qFormat/>
    <w:uiPriority w:val="0"/>
    <w:rPr>
      <w:sz w:val="21"/>
    </w:rPr>
  </w:style>
  <w:style w:type="character" w:customStyle="1" w:styleId="101">
    <w:name w:val="t-tree-icon"/>
    <w:qFormat/>
    <w:uiPriority w:val="0"/>
  </w:style>
  <w:style w:type="character" w:customStyle="1" w:styleId="102">
    <w:name w:val="hover13"/>
    <w:qFormat/>
    <w:uiPriority w:val="0"/>
    <w:rPr>
      <w:sz w:val="21"/>
      <w:szCs w:val="21"/>
    </w:rPr>
  </w:style>
  <w:style w:type="character" w:customStyle="1" w:styleId="103">
    <w:name w:val="普通文字1 Char1"/>
    <w:qFormat/>
    <w:uiPriority w:val="0"/>
    <w:rPr>
      <w:rFonts w:ascii="宋体" w:hAnsi="Courier New" w:eastAsia="宋体"/>
      <w:kern w:val="2"/>
      <w:sz w:val="21"/>
      <w:lang w:val="en-US" w:eastAsia="zh-CN" w:bidi="ar-SA"/>
    </w:rPr>
  </w:style>
  <w:style w:type="character" w:customStyle="1" w:styleId="104">
    <w:name w:val="纯文本 Char"/>
    <w:link w:val="17"/>
    <w:qFormat/>
    <w:uiPriority w:val="0"/>
    <w:rPr>
      <w:rFonts w:ascii="宋体" w:hAnsi="Courier New"/>
      <w:kern w:val="2"/>
      <w:sz w:val="21"/>
    </w:rPr>
  </w:style>
  <w:style w:type="character" w:customStyle="1" w:styleId="105">
    <w:name w:val="font41"/>
    <w:qFormat/>
    <w:uiPriority w:val="0"/>
    <w:rPr>
      <w:rFonts w:hint="eastAsia" w:ascii="宋体" w:hAnsi="宋体" w:eastAsia="宋体" w:cs="宋体"/>
      <w:color w:val="000000"/>
      <w:sz w:val="16"/>
      <w:szCs w:val="16"/>
      <w:u w:val="none"/>
    </w:rPr>
  </w:style>
  <w:style w:type="character" w:customStyle="1" w:styleId="106">
    <w:name w:val="批注框文本 Char"/>
    <w:link w:val="21"/>
    <w:qFormat/>
    <w:uiPriority w:val="0"/>
    <w:rPr>
      <w:kern w:val="2"/>
      <w:sz w:val="18"/>
      <w:szCs w:val="18"/>
    </w:rPr>
  </w:style>
  <w:style w:type="character" w:customStyle="1" w:styleId="107">
    <w:name w:val="正文文本缩进 3 Char"/>
    <w:link w:val="24"/>
    <w:qFormat/>
    <w:uiPriority w:val="0"/>
    <w:rPr>
      <w:rFonts w:ascii="Arial" w:hAnsi="Arial" w:eastAsia="仿宋_GB2312"/>
      <w:b/>
      <w:kern w:val="2"/>
      <w:sz w:val="32"/>
    </w:rPr>
  </w:style>
  <w:style w:type="character" w:customStyle="1" w:styleId="108">
    <w:name w:val="标题 8 Char"/>
    <w:link w:val="10"/>
    <w:qFormat/>
    <w:uiPriority w:val="0"/>
    <w:rPr>
      <w:rFonts w:ascii="Arial" w:hAnsi="Arial" w:eastAsia="黑体"/>
      <w:kern w:val="2"/>
      <w:sz w:val="24"/>
      <w:szCs w:val="24"/>
    </w:rPr>
  </w:style>
  <w:style w:type="character" w:customStyle="1" w:styleId="109">
    <w:name w:val="页脚 Char"/>
    <w:link w:val="22"/>
    <w:qFormat/>
    <w:uiPriority w:val="99"/>
    <w:rPr>
      <w:kern w:val="2"/>
      <w:sz w:val="18"/>
    </w:rPr>
  </w:style>
  <w:style w:type="character" w:customStyle="1" w:styleId="110">
    <w:name w:val="批注主题 Char"/>
    <w:link w:val="12"/>
    <w:qFormat/>
    <w:uiPriority w:val="0"/>
    <w:rPr>
      <w:b/>
      <w:bCs/>
      <w:szCs w:val="24"/>
    </w:rPr>
  </w:style>
  <w:style w:type="character" w:customStyle="1" w:styleId="111">
    <w:name w:val="font51"/>
    <w:qFormat/>
    <w:uiPriority w:val="0"/>
    <w:rPr>
      <w:rFonts w:hint="eastAsia" w:ascii="宋体" w:hAnsi="宋体" w:eastAsia="宋体" w:cs="宋体"/>
      <w:color w:val="000000"/>
      <w:sz w:val="24"/>
      <w:szCs w:val="24"/>
      <w:u w:val="none"/>
      <w:vertAlign w:val="superscript"/>
    </w:rPr>
  </w:style>
  <w:style w:type="character" w:customStyle="1" w:styleId="112">
    <w:name w:val="hover14"/>
    <w:qFormat/>
    <w:uiPriority w:val="0"/>
    <w:rPr>
      <w:color w:val="FFFFFF"/>
      <w:shd w:val="clear" w:color="auto" w:fill="00C1B3"/>
    </w:rPr>
  </w:style>
  <w:style w:type="character" w:customStyle="1" w:styleId="113">
    <w:name w:val="文档结构图 Char"/>
    <w:link w:val="15"/>
    <w:qFormat/>
    <w:uiPriority w:val="0"/>
    <w:rPr>
      <w:kern w:val="2"/>
      <w:sz w:val="21"/>
      <w:shd w:val="clear" w:color="auto" w:fill="000080"/>
    </w:rPr>
  </w:style>
  <w:style w:type="character" w:customStyle="1" w:styleId="114">
    <w:name w:val="footerlink"/>
    <w:qFormat/>
    <w:uiPriority w:val="0"/>
    <w:rPr>
      <w:rFonts w:eastAsia="仿宋_GB2312"/>
      <w:sz w:val="24"/>
      <w:szCs w:val="24"/>
    </w:rPr>
  </w:style>
  <w:style w:type="character" w:customStyle="1" w:styleId="115">
    <w:name w:val="t-tree-expanded"/>
    <w:qFormat/>
    <w:uiPriority w:val="0"/>
  </w:style>
  <w:style w:type="character" w:customStyle="1" w:styleId="116">
    <w:name w:val="页眉 Char"/>
    <w:link w:val="23"/>
    <w:qFormat/>
    <w:uiPriority w:val="0"/>
    <w:rPr>
      <w:kern w:val="2"/>
      <w:sz w:val="18"/>
    </w:rPr>
  </w:style>
  <w:style w:type="character" w:customStyle="1" w:styleId="117">
    <w:name w:val="t-exception-class-name"/>
    <w:qFormat/>
    <w:uiPriority w:val="0"/>
    <w:rPr>
      <w:b/>
      <w:color w:val="0000FF"/>
      <w:sz w:val="24"/>
      <w:szCs w:val="24"/>
      <w:shd w:val="clear" w:color="auto" w:fill="E1E1E1"/>
    </w:rPr>
  </w:style>
  <w:style w:type="character" w:customStyle="1" w:styleId="118">
    <w:name w:val="HTML 预设格式 Char"/>
    <w:link w:val="25"/>
    <w:qFormat/>
    <w:uiPriority w:val="99"/>
    <w:rPr>
      <w:rFonts w:ascii="宋体" w:hAnsi="宋体" w:cs="宋体"/>
      <w:sz w:val="24"/>
      <w:szCs w:val="24"/>
    </w:rPr>
  </w:style>
  <w:style w:type="character" w:customStyle="1" w:styleId="119">
    <w:name w:val="批注文字 Char"/>
    <w:link w:val="13"/>
    <w:qFormat/>
    <w:uiPriority w:val="99"/>
    <w:rPr>
      <w:szCs w:val="24"/>
    </w:rPr>
  </w:style>
  <w:style w:type="paragraph" w:customStyle="1" w:styleId="120">
    <w:name w:val="目录 51"/>
    <w:basedOn w:val="1"/>
    <w:next w:val="1"/>
    <w:qFormat/>
    <w:uiPriority w:val="0"/>
    <w:pPr>
      <w:ind w:left="1680" w:leftChars="800"/>
    </w:pPr>
    <w:rPr>
      <w:szCs w:val="24"/>
    </w:rPr>
  </w:style>
  <w:style w:type="paragraph" w:customStyle="1" w:styleId="121">
    <w:name w:val="目录 21"/>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122">
    <w:name w:val="目录 41"/>
    <w:basedOn w:val="1"/>
    <w:next w:val="1"/>
    <w:qFormat/>
    <w:uiPriority w:val="0"/>
    <w:pPr>
      <w:ind w:left="1260" w:leftChars="600"/>
    </w:pPr>
    <w:rPr>
      <w:szCs w:val="24"/>
    </w:rPr>
  </w:style>
  <w:style w:type="paragraph" w:customStyle="1" w:styleId="123">
    <w:name w:val="目录 81"/>
    <w:basedOn w:val="1"/>
    <w:next w:val="1"/>
    <w:qFormat/>
    <w:uiPriority w:val="0"/>
    <w:pPr>
      <w:ind w:left="2940" w:leftChars="1400"/>
    </w:pPr>
    <w:rPr>
      <w:szCs w:val="24"/>
    </w:rPr>
  </w:style>
  <w:style w:type="paragraph" w:customStyle="1" w:styleId="124">
    <w:name w:val="目录 31"/>
    <w:basedOn w:val="1"/>
    <w:next w:val="1"/>
    <w:unhideWhenUsed/>
    <w:qFormat/>
    <w:uiPriority w:val="0"/>
    <w:pPr>
      <w:widowControl/>
      <w:spacing w:after="100" w:line="276" w:lineRule="auto"/>
      <w:ind w:left="440"/>
      <w:jc w:val="left"/>
    </w:pPr>
    <w:rPr>
      <w:rFonts w:ascii="Calibri" w:hAnsi="Calibri"/>
      <w:kern w:val="0"/>
      <w:sz w:val="22"/>
      <w:szCs w:val="22"/>
    </w:rPr>
  </w:style>
  <w:style w:type="paragraph" w:customStyle="1" w:styleId="125">
    <w:name w:val="目录 71"/>
    <w:basedOn w:val="1"/>
    <w:next w:val="1"/>
    <w:qFormat/>
    <w:uiPriority w:val="0"/>
    <w:pPr>
      <w:ind w:left="2520" w:leftChars="1200"/>
    </w:pPr>
    <w:rPr>
      <w:szCs w:val="24"/>
    </w:rPr>
  </w:style>
  <w:style w:type="paragraph" w:customStyle="1" w:styleId="126">
    <w:name w:val="目录 61"/>
    <w:basedOn w:val="1"/>
    <w:next w:val="1"/>
    <w:qFormat/>
    <w:uiPriority w:val="0"/>
    <w:pPr>
      <w:ind w:left="2100" w:leftChars="1000"/>
    </w:pPr>
    <w:rPr>
      <w:szCs w:val="24"/>
    </w:rPr>
  </w:style>
  <w:style w:type="paragraph" w:customStyle="1" w:styleId="127">
    <w:name w:val="目录 91"/>
    <w:basedOn w:val="1"/>
    <w:next w:val="1"/>
    <w:qFormat/>
    <w:uiPriority w:val="0"/>
    <w:pPr>
      <w:ind w:left="3360" w:leftChars="1600"/>
    </w:pPr>
    <w:rPr>
      <w:szCs w:val="24"/>
    </w:rPr>
  </w:style>
  <w:style w:type="paragraph" w:customStyle="1" w:styleId="128">
    <w:name w:val="目录 11"/>
    <w:basedOn w:val="1"/>
    <w:next w:val="1"/>
    <w:qFormat/>
    <w:uiPriority w:val="39"/>
    <w:pPr>
      <w:spacing w:before="120" w:after="120"/>
      <w:ind w:left="567" w:right="567"/>
      <w:jc w:val="left"/>
    </w:pPr>
    <w:rPr>
      <w:b/>
      <w:caps/>
      <w:sz w:val="30"/>
    </w:rPr>
  </w:style>
  <w:style w:type="paragraph" w:customStyle="1" w:styleId="12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0">
    <w:name w:val="PMtextBullet"/>
    <w:basedOn w:val="131"/>
    <w:qFormat/>
    <w:uiPriority w:val="0"/>
    <w:pPr>
      <w:tabs>
        <w:tab w:val="left" w:pos="2520"/>
      </w:tabs>
      <w:spacing w:after="200"/>
      <w:ind w:left="2520" w:firstLine="288"/>
    </w:pPr>
  </w:style>
  <w:style w:type="paragraph" w:customStyle="1" w:styleId="131">
    <w:name w:val="PMstyle"/>
    <w:qFormat/>
    <w:uiPriority w:val="0"/>
    <w:pPr>
      <w:spacing w:after="160" w:line="259" w:lineRule="auto"/>
    </w:pPr>
    <w:rPr>
      <w:rFonts w:ascii="Tahoma" w:hAnsi="Tahoma" w:eastAsia="宋体" w:cs="Times New Roman"/>
      <w:sz w:val="22"/>
      <w:lang w:val="en-US" w:eastAsia="zh-CN" w:bidi="ar-SA"/>
    </w:rPr>
  </w:style>
  <w:style w:type="paragraph" w:customStyle="1" w:styleId="132">
    <w:name w:val="Normal Indent1"/>
    <w:basedOn w:val="1"/>
    <w:qFormat/>
    <w:uiPriority w:val="99"/>
    <w:pPr>
      <w:autoSpaceDE w:val="0"/>
      <w:autoSpaceDN w:val="0"/>
      <w:adjustRightInd w:val="0"/>
      <w:ind w:firstLine="420"/>
      <w:jc w:val="left"/>
    </w:pPr>
    <w:rPr>
      <w:rFonts w:ascii="宋体"/>
      <w:kern w:val="0"/>
      <w:sz w:val="24"/>
    </w:rPr>
  </w:style>
  <w:style w:type="paragraph" w:customStyle="1" w:styleId="133">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paragraph" w:customStyle="1" w:styleId="134">
    <w:name w:val="Plain Text1"/>
    <w:basedOn w:val="1"/>
    <w:qFormat/>
    <w:uiPriority w:val="99"/>
    <w:rPr>
      <w:rFonts w:ascii="宋体" w:hAnsi="Courier New"/>
    </w:rPr>
  </w:style>
  <w:style w:type="paragraph" w:customStyle="1" w:styleId="135">
    <w:name w:val="样式 标题 2 + 宋体 五号 非加粗 黑色"/>
    <w:basedOn w:val="4"/>
    <w:qFormat/>
    <w:uiPriority w:val="0"/>
    <w:pPr>
      <w:autoSpaceDE w:val="0"/>
      <w:autoSpaceDN w:val="0"/>
      <w:adjustRightInd w:val="0"/>
      <w:spacing w:before="120" w:after="0" w:line="300" w:lineRule="auto"/>
      <w:jc w:val="center"/>
    </w:pPr>
    <w:rPr>
      <w:rFonts w:ascii="宋体" w:hAnsi="宋体" w:eastAsia="宋体"/>
      <w:b w:val="0"/>
      <w:bCs w:val="0"/>
      <w:color w:val="000000"/>
      <w:kern w:val="0"/>
      <w:sz w:val="21"/>
    </w:rPr>
  </w:style>
  <w:style w:type="paragraph" w:customStyle="1" w:styleId="136">
    <w:name w:val="列出段落2"/>
    <w:basedOn w:val="1"/>
    <w:qFormat/>
    <w:uiPriority w:val="34"/>
    <w:pPr>
      <w:ind w:firstLine="420" w:firstLineChars="200"/>
    </w:pPr>
    <w:rPr>
      <w:rFonts w:ascii="Calibri" w:hAnsi="Calibri"/>
      <w:szCs w:val="22"/>
    </w:rPr>
  </w:style>
  <w:style w:type="paragraph" w:customStyle="1" w:styleId="137">
    <w:name w:val="列出段落111"/>
    <w:basedOn w:val="1"/>
    <w:qFormat/>
    <w:uiPriority w:val="0"/>
    <w:pPr>
      <w:ind w:firstLine="420" w:firstLineChars="200"/>
    </w:pPr>
    <w:rPr>
      <w:rFonts w:ascii="Calibri" w:hAnsi="Calibri"/>
      <w:szCs w:val="22"/>
    </w:rPr>
  </w:style>
  <w:style w:type="paragraph" w:customStyle="1" w:styleId="138">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paragraph" w:customStyle="1" w:styleId="139">
    <w:name w:val="样式2"/>
    <w:basedOn w:val="1"/>
    <w:qFormat/>
    <w:uiPriority w:val="0"/>
    <w:pPr>
      <w:numPr>
        <w:ilvl w:val="1"/>
        <w:numId w:val="2"/>
      </w:numPr>
      <w:adjustRightInd w:val="0"/>
      <w:textAlignment w:val="baseline"/>
    </w:pPr>
    <w:rPr>
      <w:rFonts w:ascii="宋体" w:hAnsi="宋体"/>
      <w:kern w:val="0"/>
      <w:szCs w:val="21"/>
    </w:rPr>
  </w:style>
  <w:style w:type="paragraph" w:customStyle="1" w:styleId="140">
    <w:name w:val="样式 样式 标题 2 + 宋体 五号 非加粗 黑色 + 段前: 6 磅 段后: 0 磅 行距: 单倍行距"/>
    <w:basedOn w:val="135"/>
    <w:qFormat/>
    <w:uiPriority w:val="0"/>
    <w:pPr>
      <w:spacing w:line="240" w:lineRule="auto"/>
    </w:pPr>
    <w:rPr>
      <w:rFonts w:cs="宋体"/>
      <w:szCs w:val="20"/>
    </w:rPr>
  </w:style>
  <w:style w:type="paragraph" w:customStyle="1" w:styleId="141">
    <w:name w:val="样式 宋体 五号 两端对齐 行距: 单倍行距"/>
    <w:basedOn w:val="1"/>
    <w:qFormat/>
    <w:uiPriority w:val="0"/>
    <w:pPr>
      <w:adjustRightInd w:val="0"/>
      <w:textAlignment w:val="baseline"/>
    </w:pPr>
    <w:rPr>
      <w:rFonts w:ascii="宋体" w:hAnsi="宋体"/>
      <w:kern w:val="0"/>
    </w:rPr>
  </w:style>
  <w:style w:type="paragraph" w:customStyle="1" w:styleId="142">
    <w:name w:val="Body Text 21"/>
    <w:basedOn w:val="1"/>
    <w:qFormat/>
    <w:uiPriority w:val="0"/>
    <w:pPr>
      <w:adjustRightInd w:val="0"/>
      <w:spacing w:before="240" w:line="400" w:lineRule="exact"/>
      <w:ind w:firstLine="357"/>
      <w:textAlignment w:val="baseline"/>
    </w:pPr>
    <w:rPr>
      <w:sz w:val="28"/>
    </w:rPr>
  </w:style>
  <w:style w:type="paragraph" w:customStyle="1" w:styleId="143">
    <w:name w:val="样式 样式 样式 标题 2 + 宋体 五号 非加粗 黑色 + 段前: 6 磅 段后: 0 磅 行距: 单倍行距 + 段前: 12..."/>
    <w:basedOn w:val="140"/>
    <w:qFormat/>
    <w:uiPriority w:val="0"/>
    <w:pPr>
      <w:spacing w:before="240"/>
    </w:pPr>
  </w:style>
  <w:style w:type="paragraph" w:customStyle="1" w:styleId="144">
    <w:name w:val="样式 标题 3h3H3sect1.2.3 + 五号 段前: 6 磅 段后: 6 磅 行距: 单倍行距"/>
    <w:basedOn w:val="5"/>
    <w:qFormat/>
    <w:uiPriority w:val="0"/>
    <w:pPr>
      <w:numPr>
        <w:ilvl w:val="2"/>
        <w:numId w:val="3"/>
      </w:numPr>
      <w:tabs>
        <w:tab w:val="left" w:pos="1200"/>
      </w:tabs>
      <w:adjustRightInd w:val="0"/>
      <w:spacing w:before="120" w:after="120" w:line="240" w:lineRule="auto"/>
      <w:jc w:val="left"/>
      <w:textAlignment w:val="baseline"/>
    </w:pPr>
    <w:rPr>
      <w:kern w:val="0"/>
      <w:sz w:val="21"/>
      <w:szCs w:val="20"/>
    </w:rPr>
  </w:style>
  <w:style w:type="paragraph" w:customStyle="1" w:styleId="145">
    <w:name w:val="样式 小四 首行缩进:  0.85 厘米 右侧:  0.03 厘米 行距: 1.5 倍行距"/>
    <w:basedOn w:val="1"/>
    <w:qFormat/>
    <w:uiPriority w:val="0"/>
    <w:pPr>
      <w:spacing w:line="360" w:lineRule="auto"/>
      <w:ind w:right="17" w:firstLine="482"/>
    </w:pPr>
    <w:rPr>
      <w:rFonts w:cs="宋体"/>
      <w:sz w:val="24"/>
    </w:rPr>
  </w:style>
  <w:style w:type="paragraph" w:customStyle="1" w:styleId="146">
    <w:name w:val="Char Char2 Char Char Char"/>
    <w:basedOn w:val="1"/>
    <w:qFormat/>
    <w:uiPriority w:val="0"/>
    <w:rPr>
      <w:rFonts w:ascii="Tahoma" w:hAnsi="Tahoma"/>
      <w:sz w:val="24"/>
    </w:rPr>
  </w:style>
  <w:style w:type="paragraph" w:customStyle="1" w:styleId="147">
    <w:name w:val="列出段落12"/>
    <w:basedOn w:val="1"/>
    <w:qFormat/>
    <w:uiPriority w:val="0"/>
    <w:pPr>
      <w:ind w:firstLine="420" w:firstLineChars="200"/>
    </w:pPr>
    <w:rPr>
      <w:rFonts w:ascii="Calibri" w:hAnsi="Calibri"/>
      <w:szCs w:val="22"/>
    </w:rPr>
  </w:style>
  <w:style w:type="paragraph" w:customStyle="1" w:styleId="148">
    <w:name w:val="Body Text Indent 21"/>
    <w:basedOn w:val="1"/>
    <w:qFormat/>
    <w:uiPriority w:val="0"/>
    <w:pPr>
      <w:adjustRightInd w:val="0"/>
      <w:ind w:left="720" w:hanging="720"/>
      <w:textAlignment w:val="baseline"/>
    </w:pPr>
    <w:rPr>
      <w:b/>
      <w:sz w:val="28"/>
    </w:rPr>
  </w:style>
  <w:style w:type="paragraph" w:customStyle="1" w:styleId="149">
    <w:name w:val="PMletterTextBullet"/>
    <w:basedOn w:val="150"/>
    <w:qFormat/>
    <w:uiPriority w:val="0"/>
    <w:pPr>
      <w:numPr>
        <w:ilvl w:val="0"/>
        <w:numId w:val="4"/>
      </w:numPr>
      <w:tabs>
        <w:tab w:val="left" w:pos="1800"/>
        <w:tab w:val="clear" w:pos="840"/>
      </w:tabs>
      <w:ind w:left="1800"/>
    </w:pPr>
  </w:style>
  <w:style w:type="paragraph" w:customStyle="1" w:styleId="150">
    <w:name w:val="PMletterText"/>
    <w:basedOn w:val="131"/>
    <w:qFormat/>
    <w:uiPriority w:val="0"/>
    <w:pPr>
      <w:spacing w:before="240"/>
      <w:ind w:left="720"/>
    </w:pPr>
  </w:style>
  <w:style w:type="paragraph" w:customStyle="1" w:styleId="151">
    <w:name w:val="五级条标题"/>
    <w:basedOn w:val="152"/>
    <w:next w:val="138"/>
    <w:qFormat/>
    <w:uiPriority w:val="0"/>
    <w:pPr>
      <w:numPr>
        <w:ilvl w:val="6"/>
      </w:numPr>
      <w:outlineLvl w:val="6"/>
    </w:pPr>
  </w:style>
  <w:style w:type="paragraph" w:customStyle="1" w:styleId="152">
    <w:name w:val="四级条标题"/>
    <w:basedOn w:val="153"/>
    <w:next w:val="138"/>
    <w:qFormat/>
    <w:uiPriority w:val="0"/>
    <w:pPr>
      <w:numPr>
        <w:ilvl w:val="5"/>
      </w:numPr>
      <w:outlineLvl w:val="5"/>
    </w:pPr>
  </w:style>
  <w:style w:type="paragraph" w:customStyle="1" w:styleId="153">
    <w:name w:val="三级条标题"/>
    <w:basedOn w:val="154"/>
    <w:next w:val="138"/>
    <w:qFormat/>
    <w:uiPriority w:val="0"/>
    <w:pPr>
      <w:numPr>
        <w:ilvl w:val="4"/>
      </w:numPr>
      <w:outlineLvl w:val="4"/>
    </w:pPr>
  </w:style>
  <w:style w:type="paragraph" w:customStyle="1" w:styleId="154">
    <w:name w:val="二级条标题"/>
    <w:basedOn w:val="155"/>
    <w:next w:val="138"/>
    <w:qFormat/>
    <w:uiPriority w:val="0"/>
    <w:pPr>
      <w:numPr>
        <w:ilvl w:val="3"/>
      </w:numPr>
      <w:ind w:left="0"/>
      <w:outlineLvl w:val="3"/>
    </w:pPr>
  </w:style>
  <w:style w:type="paragraph" w:customStyle="1" w:styleId="155">
    <w:name w:val="一级条标题"/>
    <w:next w:val="138"/>
    <w:qFormat/>
    <w:uiPriority w:val="0"/>
    <w:pPr>
      <w:numPr>
        <w:ilvl w:val="2"/>
        <w:numId w:val="5"/>
      </w:numPr>
      <w:spacing w:after="160" w:line="259" w:lineRule="auto"/>
      <w:outlineLvl w:val="2"/>
    </w:pPr>
    <w:rPr>
      <w:rFonts w:ascii="Times New Roman" w:hAnsi="Times New Roman" w:eastAsia="黑体" w:cs="Times New Roman"/>
      <w:sz w:val="21"/>
      <w:lang w:val="en-US" w:eastAsia="zh-CN" w:bidi="ar-SA"/>
    </w:rPr>
  </w:style>
  <w:style w:type="paragraph" w:customStyle="1" w:styleId="156">
    <w:name w:val="样式 标题 4 + 段前: 5 磅 段后: 5 磅 行距: 单倍行距"/>
    <w:basedOn w:val="6"/>
    <w:qFormat/>
    <w:uiPriority w:val="0"/>
    <w:pPr>
      <w:numPr>
        <w:ilvl w:val="3"/>
        <w:numId w:val="3"/>
      </w:numPr>
      <w:tabs>
        <w:tab w:val="left" w:pos="1200"/>
      </w:tabs>
      <w:adjustRightInd w:val="0"/>
      <w:spacing w:before="100" w:after="100" w:line="240" w:lineRule="auto"/>
      <w:jc w:val="left"/>
      <w:textAlignment w:val="baseline"/>
    </w:pPr>
    <w:rPr>
      <w:kern w:val="0"/>
      <w:szCs w:val="20"/>
    </w:rPr>
  </w:style>
  <w:style w:type="paragraph" w:customStyle="1" w:styleId="157">
    <w:name w:val="修订1"/>
    <w:unhideWhenUsed/>
    <w:qFormat/>
    <w:uiPriority w:val="99"/>
    <w:pPr>
      <w:spacing w:after="160" w:line="259" w:lineRule="auto"/>
    </w:pPr>
    <w:rPr>
      <w:rFonts w:ascii="Times New Roman" w:hAnsi="Times New Roman" w:eastAsia="宋体" w:cs="Times New Roman"/>
      <w:sz w:val="24"/>
      <w:lang w:val="en-US" w:eastAsia="zh-CN" w:bidi="ar-SA"/>
    </w:rPr>
  </w:style>
  <w:style w:type="paragraph" w:customStyle="1" w:styleId="158">
    <w:name w:val="章标题"/>
    <w:next w:val="138"/>
    <w:qFormat/>
    <w:uiPriority w:val="0"/>
    <w:pPr>
      <w:numPr>
        <w:ilvl w:val="1"/>
        <w:numId w:val="5"/>
      </w:numPr>
      <w:spacing w:beforeLines="50" w:afterLines="50" w:line="259" w:lineRule="auto"/>
      <w:jc w:val="both"/>
      <w:outlineLvl w:val="1"/>
    </w:pPr>
    <w:rPr>
      <w:rFonts w:ascii="黑体" w:hAnsi="Times New Roman" w:eastAsia="黑体" w:cs="Times New Roman"/>
      <w:sz w:val="21"/>
      <w:lang w:val="en-US" w:eastAsia="zh-CN" w:bidi="ar-SA"/>
    </w:rPr>
  </w:style>
  <w:style w:type="paragraph" w:customStyle="1" w:styleId="159">
    <w:name w:val="TOC 标题1"/>
    <w:basedOn w:val="3"/>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0">
    <w:name w:val="样式 宋体 五号 行距: 单倍行距"/>
    <w:basedOn w:val="1"/>
    <w:qFormat/>
    <w:uiPriority w:val="0"/>
    <w:pPr>
      <w:adjustRightInd w:val="0"/>
      <w:jc w:val="left"/>
      <w:textAlignment w:val="baseline"/>
    </w:pPr>
    <w:rPr>
      <w:rFonts w:ascii="宋体" w:hAnsi="宋体"/>
      <w:kern w:val="0"/>
    </w:rPr>
  </w:style>
  <w:style w:type="paragraph" w:customStyle="1" w:styleId="161">
    <w:name w:val="B表格正文"/>
    <w:next w:val="1"/>
    <w:qFormat/>
    <w:uiPriority w:val="0"/>
    <w:pPr>
      <w:spacing w:after="160" w:line="259" w:lineRule="auto"/>
    </w:pPr>
    <w:rPr>
      <w:rFonts w:ascii="Calibri" w:hAnsi="Calibri" w:eastAsia="黑体" w:cs="Times New Roman"/>
      <w:kern w:val="2"/>
      <w:sz w:val="21"/>
      <w:szCs w:val="21"/>
      <w:lang w:val="en-US" w:eastAsia="zh-CN" w:bidi="ar-SA"/>
    </w:rPr>
  </w:style>
  <w:style w:type="paragraph" w:customStyle="1" w:styleId="162">
    <w:name w:val="样式 样式 小四 右侧:  0.03 厘米 行距: 1.5 倍行距 + 首行缩进:  2 字符"/>
    <w:basedOn w:val="1"/>
    <w:qFormat/>
    <w:uiPriority w:val="0"/>
    <w:pPr>
      <w:spacing w:line="360" w:lineRule="auto"/>
      <w:ind w:right="17" w:firstLine="420" w:firstLineChars="200"/>
    </w:pPr>
    <w:rPr>
      <w:rFonts w:cs="宋体"/>
      <w:sz w:val="24"/>
    </w:rPr>
  </w:style>
  <w:style w:type="paragraph" w:customStyle="1" w:styleId="163">
    <w:name w:val="前言、引言标题"/>
    <w:next w:val="1"/>
    <w:qFormat/>
    <w:uiPriority w:val="0"/>
    <w:pPr>
      <w:numPr>
        <w:ilvl w:val="0"/>
        <w:numId w:val="5"/>
      </w:numPr>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164">
    <w:name w:val="Char"/>
    <w:basedOn w:val="1"/>
    <w:qFormat/>
    <w:uiPriority w:val="0"/>
    <w:pPr>
      <w:tabs>
        <w:tab w:val="left" w:pos="360"/>
      </w:tabs>
    </w:pPr>
    <w:rPr>
      <w:sz w:val="24"/>
      <w:szCs w:val="24"/>
    </w:rPr>
  </w:style>
  <w:style w:type="paragraph" w:customStyle="1" w:styleId="165">
    <w:name w:val="样式 标题 2 + 宋体 五号 行距: 单倍行距"/>
    <w:basedOn w:val="4"/>
    <w:qFormat/>
    <w:uiPriority w:val="0"/>
    <w:pPr>
      <w:tabs>
        <w:tab w:val="left" w:pos="1140"/>
      </w:tabs>
      <w:adjustRightInd w:val="0"/>
      <w:spacing w:line="240" w:lineRule="auto"/>
      <w:ind w:left="1140" w:hanging="720"/>
      <w:jc w:val="left"/>
      <w:textAlignment w:val="baseline"/>
    </w:pPr>
    <w:rPr>
      <w:rFonts w:ascii="宋体" w:hAnsi="宋体" w:eastAsia="宋体"/>
      <w:kern w:val="0"/>
      <w:sz w:val="21"/>
      <w:szCs w:val="20"/>
    </w:rPr>
  </w:style>
  <w:style w:type="paragraph" w:customStyle="1" w:styleId="166">
    <w:name w:val="样式 宋体 小四 行距: 1.5 倍行距 首行缩进:  2 字符"/>
    <w:basedOn w:val="1"/>
    <w:qFormat/>
    <w:uiPriority w:val="0"/>
    <w:pPr>
      <w:spacing w:line="360" w:lineRule="auto"/>
      <w:ind w:firstLine="480" w:firstLineChars="200"/>
    </w:pPr>
    <w:rPr>
      <w:rFonts w:ascii="宋体" w:hAnsi="宋体" w:cs="宋体"/>
      <w:sz w:val="24"/>
    </w:rPr>
  </w:style>
  <w:style w:type="paragraph" w:customStyle="1" w:styleId="167">
    <w:name w:val="样式 样式 标题 5 + 段前: 5 磅 段后: 5 磅 行距: 单倍行距 + 五号"/>
    <w:basedOn w:val="168"/>
    <w:qFormat/>
    <w:uiPriority w:val="0"/>
    <w:pPr>
      <w:tabs>
        <w:tab w:val="left" w:pos="2100"/>
      </w:tabs>
    </w:pPr>
    <w:rPr>
      <w:sz w:val="21"/>
    </w:rPr>
  </w:style>
  <w:style w:type="paragraph" w:customStyle="1" w:styleId="168">
    <w:name w:val="样式 标题 5 + 段前: 5 磅 段后: 5 磅 行距: 单倍行距"/>
    <w:basedOn w:val="7"/>
    <w:qFormat/>
    <w:uiPriority w:val="0"/>
    <w:pPr>
      <w:tabs>
        <w:tab w:val="left" w:pos="2100"/>
      </w:tabs>
      <w:spacing w:before="100" w:after="100" w:line="240" w:lineRule="auto"/>
      <w:ind w:left="2100" w:hanging="420"/>
    </w:pPr>
    <w:rPr>
      <w:szCs w:val="20"/>
    </w:rPr>
  </w:style>
  <w:style w:type="paragraph" w:customStyle="1" w:styleId="169">
    <w:name w:val="样式 宋体 五号 两端对齐 行距: 单倍行距1"/>
    <w:basedOn w:val="1"/>
    <w:qFormat/>
    <w:uiPriority w:val="0"/>
    <w:pPr>
      <w:adjustRightInd w:val="0"/>
      <w:textAlignment w:val="baseline"/>
    </w:pPr>
    <w:rPr>
      <w:rFonts w:ascii="宋体" w:hAnsi="宋体"/>
      <w:kern w:val="0"/>
    </w:rPr>
  </w:style>
  <w:style w:type="paragraph" w:customStyle="1" w:styleId="170">
    <w:name w:val="p0"/>
    <w:basedOn w:val="1"/>
    <w:qFormat/>
    <w:uiPriority w:val="0"/>
    <w:pPr>
      <w:widowControl/>
    </w:pPr>
    <w:rPr>
      <w:kern w:val="0"/>
      <w:szCs w:val="21"/>
    </w:rPr>
  </w:style>
  <w:style w:type="paragraph" w:customStyle="1" w:styleId="171">
    <w:name w:val="样式 样式 样式 样式 标题 2 + 宋体 五号 非加粗 黑色 + 段前: 6 磅 段后: 0 磅 行距: 单倍行距 + 段前:..."/>
    <w:basedOn w:val="143"/>
    <w:qFormat/>
    <w:uiPriority w:val="0"/>
    <w:pPr>
      <w:tabs>
        <w:tab w:val="left" w:pos="1140"/>
      </w:tabs>
      <w:autoSpaceDE/>
      <w:autoSpaceDN/>
      <w:ind w:left="1140" w:hanging="720"/>
      <w:jc w:val="left"/>
      <w:textAlignment w:val="baseline"/>
    </w:pPr>
    <w:rPr>
      <w:rFonts w:cs="Times New Roman"/>
      <w:b/>
      <w:bCs/>
    </w:rPr>
  </w:style>
  <w:style w:type="paragraph" w:customStyle="1" w:styleId="172">
    <w:name w:val="样式 样式 标题 4 + 段前: 5 磅 段后: 5 磅 行距: 单倍行距 + 五号"/>
    <w:basedOn w:val="156"/>
    <w:qFormat/>
    <w:uiPriority w:val="0"/>
    <w:rPr>
      <w:sz w:val="21"/>
    </w:rPr>
  </w:style>
  <w:style w:type="paragraph" w:customStyle="1" w:styleId="173">
    <w:name w:val="Char Char Char"/>
    <w:basedOn w:val="1"/>
    <w:qFormat/>
    <w:uiPriority w:val="0"/>
    <w:pPr>
      <w:spacing w:before="120" w:after="120" w:line="360" w:lineRule="auto"/>
      <w:ind w:firstLine="200" w:firstLineChars="200"/>
    </w:pPr>
    <w:rPr>
      <w:rFonts w:ascii="Tahoma" w:hAnsi="Tahoma"/>
      <w:sz w:val="24"/>
    </w:rPr>
  </w:style>
  <w:style w:type="paragraph" w:customStyle="1" w:styleId="174">
    <w:name w:val="样式 标题 1 + 四号 居中 段前: 12 磅 段后: 12 磅 行距: 单倍行距"/>
    <w:basedOn w:val="3"/>
    <w:qFormat/>
    <w:uiPriority w:val="0"/>
    <w:pPr>
      <w:adjustRightInd w:val="0"/>
      <w:spacing w:before="240" w:after="240" w:line="240" w:lineRule="auto"/>
      <w:ind w:firstLine="288"/>
      <w:textAlignment w:val="baseline"/>
    </w:pPr>
    <w:rPr>
      <w:bCs/>
      <w:sz w:val="28"/>
    </w:rPr>
  </w:style>
  <w:style w:type="paragraph" w:customStyle="1" w:styleId="175">
    <w:name w:val="Char1 Char Char Char"/>
    <w:basedOn w:val="1"/>
    <w:qFormat/>
    <w:uiPriority w:val="0"/>
    <w:pPr>
      <w:tabs>
        <w:tab w:val="left" w:pos="987"/>
      </w:tabs>
      <w:ind w:left="987" w:hanging="420"/>
    </w:pPr>
    <w:rPr>
      <w:szCs w:val="24"/>
    </w:rPr>
  </w:style>
  <w:style w:type="paragraph" w:customStyle="1" w:styleId="176">
    <w:name w:val="Char1"/>
    <w:basedOn w:val="1"/>
    <w:qFormat/>
    <w:uiPriority w:val="0"/>
    <w:pPr>
      <w:tabs>
        <w:tab w:val="left" w:pos="360"/>
      </w:tabs>
      <w:spacing w:line="360" w:lineRule="auto"/>
      <w:ind w:firstLine="480" w:firstLineChars="200"/>
    </w:pPr>
    <w:rPr>
      <w:rFonts w:ascii="宋体" w:hAnsi="宋体"/>
      <w:kern w:val="0"/>
      <w:sz w:val="24"/>
      <w:szCs w:val="24"/>
    </w:rPr>
  </w:style>
  <w:style w:type="paragraph" w:customStyle="1" w:styleId="177">
    <w:name w:val="正文1"/>
    <w:basedOn w:val="1"/>
    <w:qFormat/>
    <w:uiPriority w:val="0"/>
    <w:pPr>
      <w:widowControl/>
      <w:topLinePunct/>
      <w:spacing w:beforeLines="50" w:afterLines="50" w:line="300" w:lineRule="auto"/>
      <w:ind w:left="420"/>
    </w:pPr>
    <w:rPr>
      <w:szCs w:val="24"/>
    </w:rPr>
  </w:style>
  <w:style w:type="character" w:customStyle="1" w:styleId="178">
    <w:name w:val="x-tab-strip-text"/>
    <w:basedOn w:val="29"/>
    <w:qFormat/>
    <w:uiPriority w:val="0"/>
    <w:rPr>
      <w:rFonts w:ascii="Tahoma" w:hAnsi="Tahoma" w:eastAsia="Tahoma" w:cs="Tahoma"/>
      <w:color w:val="333333"/>
      <w:sz w:val="18"/>
      <w:szCs w:val="18"/>
    </w:rPr>
  </w:style>
  <w:style w:type="character" w:customStyle="1" w:styleId="179">
    <w:name w:val="x-tab-strip-text1"/>
    <w:basedOn w:val="29"/>
    <w:qFormat/>
    <w:uiPriority w:val="0"/>
  </w:style>
  <w:style w:type="character" w:customStyle="1" w:styleId="180">
    <w:name w:val="x-tab-strip-text2"/>
    <w:basedOn w:val="29"/>
    <w:qFormat/>
    <w:uiPriority w:val="0"/>
    <w:rPr>
      <w:color w:val="111111"/>
    </w:rPr>
  </w:style>
  <w:style w:type="character" w:customStyle="1" w:styleId="181">
    <w:name w:val="x-tab-strip-text3"/>
    <w:basedOn w:val="29"/>
    <w:qFormat/>
    <w:uiPriority w:val="0"/>
    <w:rPr>
      <w:b/>
      <w:color w:val="333333"/>
    </w:rPr>
  </w:style>
  <w:style w:type="character" w:customStyle="1" w:styleId="182">
    <w:name w:val="x-tab-strip-text4"/>
    <w:basedOn w:val="29"/>
    <w:qFormat/>
    <w:uiPriority w:val="0"/>
  </w:style>
  <w:style w:type="character" w:customStyle="1" w:styleId="183">
    <w:name w:val="x-tab-strip-text5"/>
    <w:basedOn w:val="29"/>
    <w:qFormat/>
    <w:uiPriority w:val="0"/>
  </w:style>
  <w:style w:type="paragraph" w:styleId="18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31</Pages>
  <Words>15251</Words>
  <Characters>3423</Characters>
  <Lines>28</Lines>
  <Paragraphs>37</Paragraphs>
  <TotalTime>42</TotalTime>
  <ScaleCrop>false</ScaleCrop>
  <LinksUpToDate>false</LinksUpToDate>
  <CharactersWithSpaces>18637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2019-06-03T01:25:00Z</dcterms:created>
  <dc:creator>a</dc:creator>
  <cp:lastModifiedBy>海绵宝宝</cp:lastModifiedBy>
  <cp:lastPrinted>2019-01-02T08:38:00Z</cp:lastPrinted>
  <dcterms:modified xsi:type="dcterms:W3CDTF">2019-06-05T13:38:41Z</dcterms:modified>
  <dc:title>广电总局政府采购</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