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Cs w:val="21"/>
        </w:rPr>
      </w:pPr>
    </w:p>
    <w:p>
      <w:pPr>
        <w:jc w:val="center"/>
        <w:rPr>
          <w:rFonts w:ascii="仿宋" w:hAnsi="仿宋" w:eastAsia="仿宋" w:cs="仿宋"/>
          <w:b/>
          <w:bCs/>
          <w:szCs w:val="21"/>
        </w:rPr>
      </w:pPr>
    </w:p>
    <w:p>
      <w:pPr>
        <w:jc w:val="center"/>
        <w:rPr>
          <w:rFonts w:ascii="仿宋" w:hAnsi="仿宋" w:eastAsia="仿宋" w:cs="仿宋"/>
          <w:b/>
          <w:bCs/>
          <w:szCs w:val="21"/>
        </w:rPr>
      </w:pPr>
    </w:p>
    <w:p>
      <w:pPr>
        <w:jc w:val="center"/>
        <w:rPr>
          <w:rFonts w:ascii="仿宋" w:hAnsi="仿宋" w:eastAsia="仿宋" w:cs="仿宋"/>
          <w:szCs w:val="21"/>
        </w:rPr>
      </w:pPr>
      <w:r>
        <w:rPr>
          <w:rFonts w:hint="eastAsia" w:ascii="仿宋" w:hAnsi="仿宋" w:eastAsia="仿宋" w:cs="仿宋"/>
          <w:b/>
          <w:bCs/>
          <w:sz w:val="36"/>
          <w:szCs w:val="36"/>
        </w:rPr>
        <w:t>自行谈判采购文件</w:t>
      </w: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both"/>
        <w:rPr>
          <w:rFonts w:ascii="仿宋" w:hAnsi="仿宋" w:eastAsia="仿宋" w:cs="仿宋"/>
          <w:sz w:val="28"/>
          <w:szCs w:val="28"/>
        </w:rPr>
      </w:pPr>
      <w:r>
        <w:rPr>
          <w:rFonts w:hint="eastAsia" w:ascii="仿宋" w:hAnsi="仿宋" w:eastAsia="仿宋" w:cs="仿宋"/>
          <w:sz w:val="28"/>
          <w:szCs w:val="28"/>
        </w:rPr>
        <w:t>项目名称：防灾科技学院创客空间环境改造采购项目</w:t>
      </w:r>
    </w:p>
    <w:p>
      <w:pPr>
        <w:spacing w:line="331" w:lineRule="exact"/>
        <w:jc w:val="left"/>
        <w:rPr>
          <w:rFonts w:ascii="仿宋" w:hAnsi="仿宋" w:eastAsia="仿宋" w:cs="仿宋"/>
          <w:sz w:val="28"/>
          <w:szCs w:val="28"/>
        </w:rPr>
      </w:pPr>
      <w:r>
        <w:rPr>
          <w:rFonts w:hint="eastAsia" w:ascii="仿宋" w:hAnsi="仿宋" w:eastAsia="仿宋" w:cs="仿宋"/>
          <w:sz w:val="28"/>
          <w:szCs w:val="28"/>
        </w:rPr>
        <w:t>项目编号：cidp-2019-57</w:t>
      </w:r>
    </w:p>
    <w:p>
      <w:pPr>
        <w:spacing w:line="331" w:lineRule="exact"/>
        <w:jc w:val="left"/>
        <w:rPr>
          <w:rFonts w:ascii="仿宋" w:hAnsi="仿宋" w:eastAsia="仿宋" w:cs="仿宋"/>
          <w:sz w:val="28"/>
          <w:szCs w:val="28"/>
        </w:rPr>
      </w:pPr>
      <w:r>
        <w:rPr>
          <w:rFonts w:hint="eastAsia" w:ascii="仿宋" w:hAnsi="仿宋" w:eastAsia="仿宋" w:cs="仿宋"/>
          <w:sz w:val="28"/>
          <w:szCs w:val="28"/>
        </w:rPr>
        <w:t>采购方式：自行谈判采购（多供应商）</w:t>
      </w: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43" w:lineRule="exact"/>
        <w:ind w:right="47"/>
        <w:jc w:val="center"/>
        <w:rPr>
          <w:rFonts w:ascii="仿宋" w:hAnsi="仿宋" w:eastAsia="仿宋" w:cs="仿宋"/>
          <w:sz w:val="28"/>
          <w:szCs w:val="28"/>
        </w:rPr>
      </w:pPr>
      <w:r>
        <w:rPr>
          <w:rFonts w:hint="eastAsia" w:ascii="仿宋" w:hAnsi="仿宋" w:eastAsia="仿宋" w:cs="仿宋"/>
          <w:sz w:val="28"/>
          <w:szCs w:val="28"/>
        </w:rPr>
        <w:t>采购人：防灾科技学院</w:t>
      </w:r>
    </w:p>
    <w:p>
      <w:pPr>
        <w:spacing w:line="343" w:lineRule="exact"/>
        <w:ind w:right="47"/>
        <w:jc w:val="center"/>
        <w:rPr>
          <w:rFonts w:ascii="仿宋" w:hAnsi="仿宋" w:eastAsia="仿宋" w:cs="仿宋"/>
          <w:sz w:val="28"/>
          <w:szCs w:val="28"/>
        </w:rPr>
      </w:pPr>
    </w:p>
    <w:p>
      <w:pPr>
        <w:spacing w:line="331" w:lineRule="exact"/>
        <w:jc w:val="center"/>
        <w:rPr>
          <w:rFonts w:ascii="仿宋" w:hAnsi="仿宋" w:eastAsia="仿宋" w:cs="仿宋"/>
          <w:szCs w:val="21"/>
        </w:rPr>
      </w:pPr>
      <w:r>
        <w:rPr>
          <w:rFonts w:hint="eastAsia" w:ascii="仿宋" w:hAnsi="仿宋" w:eastAsia="仿宋" w:cs="仿宋"/>
          <w:sz w:val="28"/>
          <w:szCs w:val="28"/>
        </w:rPr>
        <w:t>2019 年</w:t>
      </w:r>
    </w:p>
    <w:p>
      <w:pPr>
        <w:pStyle w:val="22"/>
        <w:pBdr>
          <w:bottom w:val="none" w:color="auto" w:sz="0" w:space="0"/>
        </w:pBdr>
        <w:spacing w:line="360" w:lineRule="auto"/>
        <w:rPr>
          <w:rFonts w:ascii="仿宋" w:hAnsi="仿宋" w:eastAsia="仿宋" w:cs="仿宋"/>
          <w:sz w:val="21"/>
          <w:szCs w:val="21"/>
        </w:rPr>
      </w:pPr>
    </w:p>
    <w:p>
      <w:pPr>
        <w:pStyle w:val="22"/>
        <w:pBdr>
          <w:bottom w:val="none" w:color="auto" w:sz="0" w:space="0"/>
        </w:pBdr>
        <w:spacing w:line="360" w:lineRule="auto"/>
        <w:rPr>
          <w:rFonts w:ascii="仿宋" w:hAnsi="仿宋" w:eastAsia="仿宋" w:cs="仿宋"/>
          <w:sz w:val="21"/>
          <w:szCs w:val="21"/>
        </w:rPr>
      </w:pPr>
    </w:p>
    <w:p>
      <w:pPr>
        <w:pStyle w:val="22"/>
        <w:pBdr>
          <w:bottom w:val="none" w:color="auto" w:sz="0" w:space="0"/>
        </w:pBdr>
        <w:spacing w:line="360" w:lineRule="auto"/>
        <w:rPr>
          <w:rFonts w:ascii="仿宋" w:hAnsi="仿宋" w:eastAsia="仿宋" w:cs="仿宋"/>
          <w:sz w:val="21"/>
          <w:szCs w:val="21"/>
        </w:rPr>
      </w:pPr>
    </w:p>
    <w:p>
      <w:pPr>
        <w:pStyle w:val="22"/>
        <w:pBdr>
          <w:bottom w:val="none" w:color="auto" w:sz="0" w:space="0"/>
        </w:pBdr>
        <w:spacing w:line="360" w:lineRule="auto"/>
        <w:rPr>
          <w:rFonts w:ascii="仿宋" w:hAnsi="仿宋" w:eastAsia="仿宋" w:cs="仿宋"/>
          <w:sz w:val="21"/>
          <w:szCs w:val="21"/>
        </w:rPr>
      </w:pPr>
    </w:p>
    <w:p>
      <w:pPr>
        <w:pStyle w:val="22"/>
        <w:pBdr>
          <w:bottom w:val="none" w:color="auto" w:sz="0" w:space="0"/>
        </w:pBdr>
        <w:spacing w:line="360" w:lineRule="auto"/>
        <w:rPr>
          <w:rFonts w:ascii="仿宋" w:hAnsi="仿宋" w:eastAsia="仿宋" w:cs="仿宋"/>
          <w:sz w:val="21"/>
          <w:szCs w:val="21"/>
        </w:rPr>
      </w:pPr>
    </w:p>
    <w:p>
      <w:pPr>
        <w:pStyle w:val="3"/>
        <w:keepNext w:val="0"/>
        <w:keepLines w:val="0"/>
        <w:spacing w:before="0" w:after="0" w:line="360" w:lineRule="auto"/>
        <w:rPr>
          <w:rFonts w:ascii="仿宋" w:hAnsi="仿宋" w:eastAsia="仿宋" w:cs="仿宋"/>
          <w:bCs/>
          <w:kern w:val="2"/>
          <w:sz w:val="21"/>
          <w:szCs w:val="21"/>
        </w:rPr>
      </w:pPr>
      <w:bookmarkStart w:id="0" w:name="_Toc511641657"/>
      <w:bookmarkStart w:id="1" w:name="_Toc470496182"/>
      <w:bookmarkStart w:id="2" w:name="_Toc380479084"/>
      <w:r>
        <w:rPr>
          <w:rFonts w:hint="eastAsia" w:ascii="仿宋" w:hAnsi="仿宋" w:eastAsia="仿宋" w:cs="仿宋"/>
          <w:bCs/>
          <w:kern w:val="2"/>
          <w:sz w:val="21"/>
          <w:szCs w:val="21"/>
        </w:rPr>
        <w:t>第一章  采购邀请</w:t>
      </w:r>
      <w:bookmarkEnd w:id="0"/>
      <w:bookmarkEnd w:id="1"/>
      <w:bookmarkEnd w:id="2"/>
    </w:p>
    <w:p>
      <w:pPr>
        <w:pStyle w:val="22"/>
        <w:pBdr>
          <w:bottom w:val="none" w:color="auto" w:sz="0" w:space="0"/>
        </w:pBdr>
        <w:snapToGrid/>
        <w:spacing w:line="360" w:lineRule="auto"/>
        <w:jc w:val="both"/>
        <w:rPr>
          <w:rFonts w:ascii="仿宋" w:hAnsi="仿宋" w:eastAsia="仿宋" w:cs="仿宋"/>
          <w:sz w:val="21"/>
          <w:szCs w:val="21"/>
        </w:rPr>
      </w:pPr>
      <w:r>
        <w:rPr>
          <w:rFonts w:hint="eastAsia" w:ascii="仿宋" w:hAnsi="仿宋" w:eastAsia="仿宋" w:cs="仿宋"/>
          <w:sz w:val="21"/>
          <w:szCs w:val="21"/>
        </w:rPr>
        <w:t>项目信息：</w:t>
      </w:r>
    </w:p>
    <w:p>
      <w:pPr>
        <w:pStyle w:val="22"/>
        <w:pBdr>
          <w:bottom w:val="none" w:color="auto" w:sz="0" w:space="0"/>
        </w:pBdr>
        <w:snapToGrid/>
        <w:spacing w:line="360" w:lineRule="auto"/>
        <w:ind w:left="945"/>
        <w:jc w:val="both"/>
        <w:rPr>
          <w:rFonts w:ascii="仿宋" w:hAnsi="仿宋" w:eastAsia="仿宋" w:cs="仿宋"/>
          <w:sz w:val="21"/>
          <w:szCs w:val="21"/>
        </w:rPr>
      </w:pPr>
    </w:p>
    <w:p>
      <w:pPr>
        <w:pStyle w:val="22"/>
        <w:numPr>
          <w:ilvl w:val="0"/>
          <w:numId w:val="6"/>
        </w:numPr>
        <w:pBdr>
          <w:bottom w:val="none" w:color="auto" w:sz="0" w:space="0"/>
        </w:pBdr>
        <w:tabs>
          <w:tab w:val="center" w:pos="1134"/>
          <w:tab w:val="clear" w:pos="4153"/>
        </w:tabs>
        <w:snapToGrid/>
        <w:spacing w:line="360" w:lineRule="auto"/>
        <w:jc w:val="both"/>
        <w:rPr>
          <w:rFonts w:ascii="仿宋" w:hAnsi="仿宋" w:eastAsia="仿宋" w:cs="仿宋"/>
          <w:color w:val="000000" w:themeColor="text1"/>
          <w:sz w:val="21"/>
          <w:szCs w:val="21"/>
        </w:rPr>
      </w:pPr>
      <w:r>
        <w:rPr>
          <w:rFonts w:hint="eastAsia" w:ascii="仿宋" w:hAnsi="仿宋" w:eastAsia="仿宋" w:cs="仿宋"/>
          <w:color w:val="000000" w:themeColor="text1"/>
          <w:sz w:val="21"/>
          <w:szCs w:val="21"/>
        </w:rPr>
        <w:t>项目名称：防灾科技学院创客空间环境改造采购项目</w:t>
      </w:r>
    </w:p>
    <w:p>
      <w:pPr>
        <w:pStyle w:val="22"/>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谈判文件公示时间：2019年6月1</w:t>
      </w:r>
      <w:r>
        <w:rPr>
          <w:rFonts w:hint="eastAsia" w:ascii="仿宋" w:hAnsi="仿宋" w:eastAsia="仿宋" w:cs="仿宋"/>
          <w:sz w:val="21"/>
          <w:szCs w:val="21"/>
          <w:lang w:val="en-US" w:eastAsia="zh-CN"/>
        </w:rPr>
        <w:t>3</w:t>
      </w:r>
      <w:r>
        <w:rPr>
          <w:rFonts w:hint="eastAsia" w:ascii="仿宋" w:hAnsi="仿宋" w:eastAsia="仿宋" w:cs="仿宋"/>
          <w:sz w:val="21"/>
          <w:szCs w:val="21"/>
        </w:rPr>
        <w:t>日至2019年6月1</w:t>
      </w:r>
      <w:r>
        <w:rPr>
          <w:rFonts w:hint="eastAsia" w:ascii="仿宋" w:hAnsi="仿宋" w:eastAsia="仿宋" w:cs="仿宋"/>
          <w:sz w:val="21"/>
          <w:szCs w:val="21"/>
          <w:lang w:val="en-US" w:eastAsia="zh-CN"/>
        </w:rPr>
        <w:t>7</w:t>
      </w:r>
      <w:r>
        <w:rPr>
          <w:rFonts w:hint="eastAsia" w:ascii="仿宋" w:hAnsi="仿宋" w:eastAsia="仿宋" w:cs="仿宋"/>
          <w:sz w:val="21"/>
          <w:szCs w:val="21"/>
        </w:rPr>
        <w:t>日（8:00—12:00,14:00—17:00）（节假日除外）</w:t>
      </w:r>
    </w:p>
    <w:p>
      <w:pPr>
        <w:pStyle w:val="22"/>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获取采购文件、技术咨询</w:t>
      </w:r>
      <w:r>
        <w:rPr>
          <w:rFonts w:hint="eastAsia" w:ascii="仿宋" w:hAnsi="仿宋" w:eastAsia="仿宋" w:cs="仿宋"/>
          <w:sz w:val="21"/>
          <w:szCs w:val="21"/>
          <w:lang w:eastAsia="zh-CN"/>
        </w:rPr>
        <w:t>、</w:t>
      </w:r>
      <w:r>
        <w:rPr>
          <w:rFonts w:hint="eastAsia" w:ascii="仿宋" w:hAnsi="仿宋" w:eastAsia="仿宋" w:cs="仿宋"/>
          <w:sz w:val="21"/>
          <w:szCs w:val="21"/>
        </w:rPr>
        <w:t>报名地点：防灾科技学院明德楼122室；联系人：李老师、蒋老师；联系电话：0316-3333559。</w:t>
      </w:r>
    </w:p>
    <w:p>
      <w:pPr>
        <w:pStyle w:val="22"/>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报名时间：2019年6月12日至2019年6月18日（8:00—12:00,14:00—17:00）（节假日除外）</w:t>
      </w:r>
    </w:p>
    <w:p>
      <w:pPr>
        <w:pStyle w:val="22"/>
        <w:numPr>
          <w:ilvl w:val="0"/>
          <w:numId w:val="6"/>
        </w:numPr>
        <w:pBdr>
          <w:bottom w:val="none" w:color="auto" w:sz="0" w:space="0"/>
        </w:pBdr>
        <w:tabs>
          <w:tab w:val="center" w:pos="993"/>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响应文件提交时间、截止时间及地点：</w:t>
      </w:r>
    </w:p>
    <w:p>
      <w:pPr>
        <w:pStyle w:val="22"/>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截止时间：</w:t>
      </w:r>
      <w:r>
        <w:rPr>
          <w:rFonts w:hint="eastAsia" w:ascii="仿宋" w:hAnsi="仿宋" w:eastAsia="仿宋" w:cs="仿宋"/>
          <w:sz w:val="21"/>
          <w:szCs w:val="21"/>
          <w:u w:val="single"/>
        </w:rPr>
        <w:t>2019年6月19日17：00</w:t>
      </w:r>
      <w:bookmarkStart w:id="61" w:name="_GoBack"/>
      <w:bookmarkEnd w:id="61"/>
    </w:p>
    <w:p>
      <w:pPr>
        <w:pStyle w:val="22"/>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 xml:space="preserve">地点：明德楼231会议室 </w:t>
      </w:r>
    </w:p>
    <w:p>
      <w:pPr>
        <w:pStyle w:val="22"/>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响应文件应密封送达指定地点，在截止时间后送达的响应文件为无效文件，将被拒收。</w:t>
      </w:r>
    </w:p>
    <w:p>
      <w:pPr>
        <w:pStyle w:val="22"/>
        <w:numPr>
          <w:ilvl w:val="0"/>
          <w:numId w:val="6"/>
        </w:numPr>
        <w:pBdr>
          <w:bottom w:val="none" w:color="auto" w:sz="0" w:space="0"/>
        </w:pBdr>
        <w:tabs>
          <w:tab w:val="center" w:pos="993"/>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最后报价提交时间及地点：</w:t>
      </w:r>
    </w:p>
    <w:p>
      <w:pPr>
        <w:pStyle w:val="22"/>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提交时间：</w:t>
      </w:r>
      <w:r>
        <w:rPr>
          <w:rFonts w:hint="eastAsia" w:ascii="仿宋" w:hAnsi="仿宋" w:eastAsia="仿宋" w:cs="仿宋"/>
          <w:sz w:val="21"/>
          <w:szCs w:val="21"/>
          <w:u w:val="single"/>
        </w:rPr>
        <w:t>2019年6月19日17：00</w:t>
      </w:r>
    </w:p>
    <w:p>
      <w:pPr>
        <w:pStyle w:val="22"/>
        <w:pBdr>
          <w:bottom w:val="none" w:color="auto" w:sz="0" w:space="0"/>
        </w:pBdr>
        <w:snapToGrid/>
        <w:spacing w:line="360" w:lineRule="auto"/>
        <w:ind w:left="945" w:leftChars="450"/>
        <w:jc w:val="both"/>
        <w:rPr>
          <w:rFonts w:ascii="仿宋" w:hAnsi="仿宋" w:eastAsia="仿宋" w:cs="仿宋"/>
          <w:sz w:val="21"/>
          <w:szCs w:val="21"/>
        </w:rPr>
      </w:pPr>
      <w:r>
        <w:rPr>
          <w:rFonts w:hint="eastAsia" w:ascii="仿宋" w:hAnsi="仿宋" w:eastAsia="仿宋" w:cs="仿宋"/>
          <w:sz w:val="21"/>
          <w:szCs w:val="21"/>
        </w:rPr>
        <w:t>地点：同响应文件提交地点</w:t>
      </w:r>
    </w:p>
    <w:p>
      <w:pPr>
        <w:spacing w:line="360" w:lineRule="auto"/>
        <w:ind w:left="945" w:hanging="420"/>
        <w:rPr>
          <w:rFonts w:ascii="仿宋" w:hAnsi="仿宋" w:eastAsia="仿宋" w:cs="仿宋"/>
          <w:szCs w:val="21"/>
        </w:rPr>
      </w:pPr>
      <w:r>
        <w:rPr>
          <w:rFonts w:hint="eastAsia" w:ascii="仿宋" w:hAnsi="仿宋" w:eastAsia="仿宋" w:cs="仿宋"/>
          <w:szCs w:val="21"/>
        </w:rPr>
        <w:t>7．凡对谈判提出询问，请按下列内容与采购人联系：</w:t>
      </w:r>
    </w:p>
    <w:p>
      <w:pPr>
        <w:spacing w:line="360" w:lineRule="auto"/>
        <w:ind w:left="945" w:hanging="420"/>
        <w:rPr>
          <w:rFonts w:ascii="仿宋" w:hAnsi="仿宋" w:eastAsia="仿宋" w:cs="仿宋"/>
          <w:szCs w:val="21"/>
        </w:rPr>
      </w:pPr>
      <w:r>
        <w:rPr>
          <w:rFonts w:hint="eastAsia" w:ascii="仿宋" w:hAnsi="仿宋" w:eastAsia="仿宋" w:cs="仿宋"/>
          <w:szCs w:val="21"/>
        </w:rPr>
        <w:t xml:space="preserve">   地    址：</w:t>
      </w:r>
      <w:r>
        <w:rPr>
          <w:rFonts w:hint="eastAsia" w:ascii="仿宋" w:hAnsi="仿宋" w:eastAsia="仿宋" w:cs="仿宋"/>
          <w:szCs w:val="21"/>
          <w:u w:val="single"/>
        </w:rPr>
        <w:t xml:space="preserve">  防灾科技学院   </w:t>
      </w:r>
    </w:p>
    <w:p>
      <w:pPr>
        <w:spacing w:line="360" w:lineRule="auto"/>
        <w:ind w:left="945" w:hanging="420"/>
        <w:rPr>
          <w:rFonts w:hint="eastAsia" w:ascii="仿宋" w:hAnsi="仿宋" w:eastAsia="仿宋" w:cs="仿宋"/>
          <w:szCs w:val="21"/>
        </w:rPr>
      </w:pPr>
      <w:r>
        <w:rPr>
          <w:rFonts w:hint="eastAsia" w:ascii="仿宋" w:hAnsi="仿宋" w:eastAsia="仿宋" w:cs="仿宋"/>
          <w:szCs w:val="21"/>
        </w:rPr>
        <w:t xml:space="preserve">   </w:t>
      </w:r>
    </w:p>
    <w:p>
      <w:pPr>
        <w:pStyle w:val="2"/>
        <w:rPr>
          <w:rFonts w:hint="eastAsia" w:ascii="仿宋" w:hAnsi="仿宋" w:eastAsia="仿宋" w:cs="仿宋"/>
          <w:szCs w:val="21"/>
        </w:rPr>
      </w:pPr>
    </w:p>
    <w:p>
      <w:pPr>
        <w:pStyle w:val="2"/>
        <w:rPr>
          <w:rFonts w:hint="eastAsia" w:ascii="仿宋" w:hAnsi="仿宋" w:eastAsia="仿宋" w:cs="仿宋"/>
          <w:szCs w:val="21"/>
        </w:rPr>
      </w:pPr>
    </w:p>
    <w:p>
      <w:pPr>
        <w:pStyle w:val="2"/>
        <w:rPr>
          <w:rFonts w:hint="eastAsia" w:ascii="仿宋" w:hAnsi="仿宋" w:eastAsia="仿宋" w:cs="仿宋"/>
          <w:szCs w:val="21"/>
        </w:rPr>
      </w:pPr>
    </w:p>
    <w:p>
      <w:pPr>
        <w:spacing w:line="360" w:lineRule="auto"/>
        <w:ind w:left="945" w:hanging="420"/>
        <w:rPr>
          <w:rFonts w:ascii="仿宋" w:hAnsi="仿宋" w:eastAsia="仿宋" w:cs="仿宋"/>
          <w:b/>
          <w:bCs/>
          <w:szCs w:val="21"/>
        </w:rPr>
      </w:pPr>
      <w:r>
        <w:rPr>
          <w:rFonts w:hint="eastAsia" w:ascii="仿宋" w:hAnsi="仿宋" w:eastAsia="仿宋" w:cs="仿宋"/>
          <w:szCs w:val="21"/>
        </w:rPr>
        <w:t xml:space="preserve">      </w:t>
      </w:r>
    </w:p>
    <w:p>
      <w:pPr>
        <w:pStyle w:val="3"/>
        <w:keepNext w:val="0"/>
        <w:keepLines w:val="0"/>
        <w:spacing w:before="0" w:after="0" w:line="360" w:lineRule="auto"/>
        <w:rPr>
          <w:rFonts w:ascii="仿宋" w:hAnsi="仿宋" w:eastAsia="仿宋" w:cs="仿宋"/>
          <w:bCs/>
          <w:kern w:val="2"/>
          <w:sz w:val="21"/>
          <w:szCs w:val="21"/>
        </w:rPr>
      </w:pPr>
      <w:bookmarkStart w:id="3" w:name="_Toc380479085"/>
      <w:bookmarkStart w:id="4" w:name="_Toc511641658"/>
      <w:bookmarkStart w:id="5" w:name="_Toc470496183"/>
      <w:r>
        <w:rPr>
          <w:rFonts w:hint="eastAsia" w:ascii="仿宋" w:hAnsi="仿宋" w:eastAsia="仿宋" w:cs="仿宋"/>
          <w:bCs/>
          <w:kern w:val="2"/>
          <w:sz w:val="21"/>
          <w:szCs w:val="21"/>
        </w:rPr>
        <w:t>第二章  谈判供应商须知</w:t>
      </w:r>
      <w:bookmarkEnd w:id="3"/>
      <w:bookmarkEnd w:id="4"/>
      <w:bookmarkEnd w:id="5"/>
    </w:p>
    <w:p>
      <w:pPr>
        <w:spacing w:line="360" w:lineRule="auto"/>
        <w:rPr>
          <w:rFonts w:ascii="仿宋" w:hAnsi="仿宋" w:eastAsia="仿宋" w:cs="仿宋"/>
          <w:szCs w:val="21"/>
        </w:rPr>
      </w:pPr>
    </w:p>
    <w:p>
      <w:pPr>
        <w:pStyle w:val="3"/>
        <w:spacing w:before="0" w:after="0" w:line="360" w:lineRule="auto"/>
        <w:rPr>
          <w:rFonts w:ascii="仿宋" w:hAnsi="仿宋" w:eastAsia="仿宋" w:cs="仿宋"/>
          <w:b w:val="0"/>
          <w:sz w:val="21"/>
          <w:szCs w:val="21"/>
        </w:rPr>
      </w:pPr>
      <w:bookmarkStart w:id="6" w:name="_Toc380479086"/>
      <w:r>
        <w:rPr>
          <w:rFonts w:hint="eastAsia" w:ascii="仿宋" w:hAnsi="仿宋" w:eastAsia="仿宋" w:cs="仿宋"/>
          <w:sz w:val="21"/>
          <w:szCs w:val="21"/>
        </w:rPr>
        <w:t>谈判供应商须知前附表</w:t>
      </w:r>
      <w:bookmarkEnd w:id="6"/>
    </w:p>
    <w:p>
      <w:pPr>
        <w:spacing w:line="360" w:lineRule="auto"/>
        <w:ind w:firstLine="315" w:firstLineChars="150"/>
        <w:rPr>
          <w:rFonts w:ascii="仿宋" w:hAnsi="仿宋" w:eastAsia="仿宋" w:cs="仿宋"/>
          <w:szCs w:val="21"/>
        </w:rPr>
      </w:pPr>
      <w:r>
        <w:rPr>
          <w:rFonts w:hint="eastAsia" w:ascii="仿宋" w:hAnsi="仿宋" w:eastAsia="仿宋" w:cs="仿宋"/>
          <w:szCs w:val="21"/>
        </w:rPr>
        <w:t xml:space="preserve"> 本表是关于本次要采购服务的具体资料，是对谈判供应商须知的具体补充和修改，如有矛盾，应以本表为准。</w:t>
      </w:r>
    </w:p>
    <w:tbl>
      <w:tblPr>
        <w:tblStyle w:val="29"/>
        <w:tblW w:w="9214"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18"/>
        <w:gridCol w:w="22"/>
        <w:gridCol w:w="7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gridSpan w:val="2"/>
            <w:vAlign w:val="center"/>
          </w:tcPr>
          <w:p>
            <w:pPr>
              <w:spacing w:line="360" w:lineRule="auto"/>
              <w:ind w:left="1081" w:leftChars="-13" w:hanging="1108"/>
              <w:jc w:val="center"/>
              <w:rPr>
                <w:rFonts w:ascii="仿宋" w:hAnsi="仿宋" w:eastAsia="仿宋" w:cs="仿宋"/>
                <w:szCs w:val="21"/>
              </w:rPr>
            </w:pPr>
            <w:r>
              <w:rPr>
                <w:rFonts w:hint="eastAsia" w:ascii="仿宋" w:hAnsi="仿宋" w:eastAsia="仿宋" w:cs="仿宋"/>
                <w:szCs w:val="21"/>
              </w:rPr>
              <w:t>条款号</w:t>
            </w:r>
          </w:p>
        </w:tc>
        <w:tc>
          <w:tcPr>
            <w:tcW w:w="7774" w:type="dxa"/>
            <w:vAlign w:val="center"/>
          </w:tcPr>
          <w:p>
            <w:pPr>
              <w:spacing w:line="360" w:lineRule="auto"/>
              <w:ind w:left="1080" w:hanging="1080"/>
              <w:jc w:val="center"/>
              <w:rPr>
                <w:rFonts w:ascii="仿宋" w:hAnsi="仿宋" w:eastAsia="仿宋" w:cs="仿宋"/>
                <w:szCs w:val="21"/>
              </w:rPr>
            </w:pPr>
            <w:r>
              <w:rPr>
                <w:rFonts w:hint="eastAsia" w:ascii="仿宋" w:hAnsi="仿宋" w:eastAsia="仿宋" w:cs="仿宋"/>
                <w:szCs w:val="21"/>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335"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1.1</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采购人：防灾科技学院</w:t>
            </w:r>
          </w:p>
          <w:p>
            <w:pPr>
              <w:spacing w:line="360" w:lineRule="auto"/>
              <w:rPr>
                <w:rFonts w:ascii="仿宋" w:hAnsi="仿宋" w:eastAsia="仿宋" w:cs="仿宋"/>
                <w:kern w:val="0"/>
                <w:szCs w:val="21"/>
              </w:rPr>
            </w:pPr>
            <w:r>
              <w:rPr>
                <w:rFonts w:hint="eastAsia" w:ascii="仿宋" w:hAnsi="仿宋" w:eastAsia="仿宋" w:cs="仿宋"/>
                <w:szCs w:val="21"/>
              </w:rPr>
              <w:t>地  址：燕郊高新区防灾科技学院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5"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 xml:space="preserve">1.2 </w:t>
            </w:r>
          </w:p>
        </w:tc>
        <w:tc>
          <w:tcPr>
            <w:tcW w:w="7774" w:type="dxa"/>
            <w:vAlign w:val="center"/>
          </w:tcPr>
          <w:p>
            <w:pPr>
              <w:pStyle w:val="25"/>
              <w:spacing w:before="0" w:beforeAutospacing="0" w:after="0" w:afterAutospacing="0" w:line="270" w:lineRule="atLeast"/>
              <w:ind w:left="1050" w:hanging="1050" w:hangingChars="500"/>
              <w:rPr>
                <w:rFonts w:ascii="仿宋" w:hAnsi="仿宋" w:eastAsia="仿宋" w:cs="仿宋"/>
                <w:sz w:val="21"/>
                <w:szCs w:val="21"/>
              </w:rPr>
            </w:pPr>
            <w:r>
              <w:rPr>
                <w:rFonts w:hint="eastAsia" w:ascii="仿宋" w:hAnsi="仿宋" w:eastAsia="仿宋" w:cs="仿宋"/>
                <w:sz w:val="21"/>
                <w:szCs w:val="21"/>
              </w:rPr>
              <w:t>项目名称：</w:t>
            </w:r>
            <w:r>
              <w:rPr>
                <w:rFonts w:hint="eastAsia" w:ascii="仿宋" w:hAnsi="仿宋" w:eastAsia="仿宋" w:cs="仿宋"/>
                <w:color w:val="000000" w:themeColor="text1"/>
                <w:sz w:val="21"/>
                <w:szCs w:val="21"/>
              </w:rPr>
              <w:t>防灾科技学院创客空间环境改造采购项目</w:t>
            </w:r>
          </w:p>
          <w:p>
            <w:pPr>
              <w:spacing w:line="360" w:lineRule="auto"/>
              <w:rPr>
                <w:rFonts w:ascii="仿宋" w:hAnsi="仿宋" w:eastAsia="仿宋" w:cs="仿宋"/>
                <w:szCs w:val="21"/>
              </w:rPr>
            </w:pPr>
            <w:r>
              <w:rPr>
                <w:rFonts w:hint="eastAsia" w:ascii="仿宋" w:hAnsi="仿宋" w:eastAsia="仿宋" w:cs="仿宋"/>
                <w:szCs w:val="21"/>
              </w:rPr>
              <w:t>拟采购预算</w:t>
            </w:r>
            <w:r>
              <w:rPr>
                <w:rFonts w:hint="eastAsia" w:ascii="仿宋" w:hAnsi="仿宋" w:eastAsia="仿宋" w:cs="仿宋"/>
                <w:kern w:val="0"/>
                <w:szCs w:val="21"/>
              </w:rPr>
              <w:t>：3</w:t>
            </w:r>
            <w:r>
              <w:rPr>
                <w:rFonts w:hint="eastAsia" w:ascii="仿宋" w:hAnsi="仿宋" w:eastAsia="仿宋" w:cs="仿宋"/>
                <w:kern w:val="0"/>
                <w:szCs w:val="21"/>
                <w:lang w:val="en-US" w:eastAsia="zh-CN"/>
              </w:rPr>
              <w:t>7</w:t>
            </w:r>
            <w:r>
              <w:rPr>
                <w:rFonts w:hint="eastAsia" w:ascii="仿宋" w:hAnsi="仿宋" w:eastAsia="仿宋" w:cs="仿宋"/>
                <w:kern w:val="0"/>
                <w:szCs w:val="21"/>
              </w:rPr>
              <w:t>.00万元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2.1（1）</w:t>
            </w:r>
          </w:p>
        </w:tc>
        <w:tc>
          <w:tcPr>
            <w:tcW w:w="7774" w:type="dxa"/>
            <w:vAlign w:val="center"/>
          </w:tcPr>
          <w:p>
            <w:pPr>
              <w:numPr>
                <w:numId w:val="0"/>
              </w:numPr>
              <w:spacing w:line="360" w:lineRule="auto"/>
              <w:rPr>
                <w:rFonts w:ascii="仿宋" w:hAnsi="仿宋" w:eastAsia="仿宋" w:cs="仿宋"/>
                <w:color w:val="FF0000"/>
                <w:kern w:val="0"/>
                <w:szCs w:val="21"/>
              </w:rPr>
            </w:pPr>
            <w:r>
              <w:rPr>
                <w:rFonts w:hint="eastAsia" w:ascii="仿宋" w:hAnsi="仿宋" w:eastAsia="仿宋" w:cs="仿宋"/>
                <w:szCs w:val="21"/>
              </w:rPr>
              <w:t>合格供应商资格条件其他要求：具有建筑工程施工总承包三级（含）以上资质或建筑装修装饰工程专业承包二级（含）以上资质</w:t>
            </w:r>
            <w:r>
              <w:rPr>
                <w:rFonts w:hint="eastAsia" w:ascii="仿宋" w:hAnsi="仿宋" w:eastAsia="仿宋" w:cs="仿宋"/>
                <w:szCs w:val="21"/>
              </w:rPr>
              <w:t>；有类似工程装修施工业绩。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2.1（2）</w:t>
            </w:r>
          </w:p>
        </w:tc>
        <w:tc>
          <w:tcPr>
            <w:tcW w:w="7774" w:type="dxa"/>
            <w:vAlign w:val="center"/>
          </w:tcPr>
          <w:p>
            <w:pPr>
              <w:spacing w:line="360" w:lineRule="auto"/>
              <w:rPr>
                <w:rFonts w:ascii="仿宋" w:hAnsi="仿宋" w:eastAsia="仿宋" w:cs="仿宋"/>
                <w:szCs w:val="21"/>
                <w:u w:val="single"/>
              </w:rPr>
            </w:pPr>
            <w:r>
              <w:rPr>
                <w:rFonts w:hint="eastAsia" w:ascii="仿宋" w:hAnsi="仿宋" w:eastAsia="仿宋" w:cs="仿宋"/>
                <w:szCs w:val="21"/>
              </w:rPr>
              <w:t>是否专门面向中小企业采购：</w:t>
            </w:r>
            <w:r>
              <w:rPr>
                <w:rFonts w:hint="eastAsia" w:ascii="仿宋" w:hAnsi="仿宋" w:eastAsia="仿宋" w:cs="仿宋"/>
                <w:szCs w:val="21"/>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2.2</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是否允许联合体参加谈判：</w:t>
            </w:r>
            <w:r>
              <w:rPr>
                <w:rFonts w:hint="eastAsia" w:ascii="仿宋" w:hAnsi="仿宋" w:eastAsia="仿宋" w:cs="仿宋"/>
                <w:szCs w:val="21"/>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2.3</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对联合体的其他资格要求：不适用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3.1（1）</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采购需求响应方案内容要求：提供第三章采购需求的点对点应答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3.1（2）</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资格证明文件：</w:t>
            </w:r>
          </w:p>
          <w:p>
            <w:pPr>
              <w:spacing w:line="360" w:lineRule="auto"/>
              <w:rPr>
                <w:rFonts w:ascii="仿宋" w:hAnsi="仿宋" w:eastAsia="仿宋" w:cs="仿宋"/>
                <w:szCs w:val="21"/>
              </w:rPr>
            </w:pPr>
            <w:r>
              <w:rPr>
                <w:rFonts w:hint="eastAsia" w:ascii="仿宋" w:hAnsi="仿宋" w:eastAsia="仿宋" w:cs="仿宋"/>
                <w:szCs w:val="21"/>
              </w:rPr>
              <w:t>1、法定代表人授权书（原件，加盖公章，供应商为自然人的无须提供），供应商为搭理人缴纳社保或纳税证明文件</w:t>
            </w:r>
          </w:p>
          <w:p>
            <w:pPr>
              <w:spacing w:line="360" w:lineRule="auto"/>
              <w:rPr>
                <w:rFonts w:ascii="仿宋" w:hAnsi="仿宋" w:eastAsia="仿宋" w:cs="仿宋"/>
                <w:szCs w:val="21"/>
              </w:rPr>
            </w:pPr>
            <w:r>
              <w:rPr>
                <w:rFonts w:hint="eastAsia" w:ascii="仿宋" w:hAnsi="仿宋" w:eastAsia="仿宋" w:cs="仿宋"/>
                <w:szCs w:val="21"/>
              </w:rPr>
              <w:t>2、谈判供应商情况表（原件，加盖公章，供应商为自然人的无须提供）</w:t>
            </w:r>
          </w:p>
          <w:p>
            <w:pPr>
              <w:spacing w:line="360" w:lineRule="auto"/>
              <w:rPr>
                <w:rFonts w:ascii="仿宋" w:hAnsi="仿宋" w:eastAsia="仿宋" w:cs="仿宋"/>
                <w:szCs w:val="21"/>
              </w:rPr>
            </w:pPr>
            <w:r>
              <w:rPr>
                <w:rFonts w:hint="eastAsia" w:ascii="仿宋" w:hAnsi="仿宋" w:eastAsia="仿宋" w:cs="仿宋"/>
                <w:szCs w:val="21"/>
              </w:rPr>
              <w:t>3、营业执照（副本复印件，加盖公章）或事业单位法人证书（副本复印件，加盖公章）</w:t>
            </w:r>
          </w:p>
          <w:p>
            <w:pPr>
              <w:spacing w:line="360" w:lineRule="auto"/>
              <w:rPr>
                <w:rFonts w:hint="eastAsia" w:ascii="仿宋" w:hAnsi="仿宋" w:eastAsia="仿宋" w:cs="仿宋"/>
                <w:color w:val="000000"/>
                <w:sz w:val="21"/>
                <w:szCs w:val="21"/>
                <w:lang w:eastAsia="zh-CN"/>
              </w:rPr>
            </w:pPr>
            <w:r>
              <w:rPr>
                <w:rFonts w:hint="eastAsia" w:ascii="仿宋" w:hAnsi="仿宋" w:eastAsia="仿宋" w:cs="仿宋"/>
                <w:color w:val="000000" w:themeColor="text1"/>
                <w:szCs w:val="21"/>
              </w:rPr>
              <w:t>4、</w:t>
            </w:r>
            <w:r>
              <w:rPr>
                <w:rFonts w:hint="eastAsia" w:ascii="仿宋" w:hAnsi="仿宋" w:eastAsia="仿宋" w:cs="仿宋"/>
                <w:color w:val="000000"/>
                <w:sz w:val="21"/>
                <w:szCs w:val="21"/>
                <w:lang w:eastAsia="zh-CN"/>
              </w:rPr>
              <w:t>信用中国或国家企业信用信息公示系统或中国政府购买服务信息平台“政府采购严重违法失信行为信息记录”或全国建筑市场监管公共服务平台截图（加盖公章）。</w:t>
            </w:r>
          </w:p>
          <w:p>
            <w:pPr>
              <w:spacing w:line="360" w:lineRule="auto"/>
              <w:rPr>
                <w:rFonts w:hint="eastAsia" w:ascii="仿宋" w:hAnsi="仿宋" w:eastAsia="仿宋" w:cs="仿宋"/>
                <w:szCs w:val="21"/>
              </w:rPr>
            </w:pPr>
            <w:r>
              <w:rPr>
                <w:rFonts w:hint="eastAsia" w:ascii="仿宋" w:hAnsi="仿宋" w:eastAsia="仿宋" w:cs="仿宋"/>
                <w:szCs w:val="21"/>
              </w:rPr>
              <w:t>未被信用中国网站（www.creditchina.gov.cn）、中国政府采购网（www.ccgp.gov.cn）列入失信被执行人、重大税收违法案件当事人名单、政府采购严重违法失信行为记录名单。</w:t>
            </w:r>
          </w:p>
          <w:p>
            <w:pPr>
              <w:spacing w:line="360" w:lineRule="auto"/>
              <w:rPr>
                <w:rFonts w:ascii="仿宋" w:hAnsi="仿宋" w:eastAsia="仿宋" w:cs="仿宋"/>
                <w:szCs w:val="21"/>
              </w:rPr>
            </w:pPr>
            <w:r>
              <w:rPr>
                <w:rFonts w:hint="eastAsia" w:ascii="仿宋" w:hAnsi="仿宋" w:eastAsia="仿宋" w:cs="仿宋"/>
                <w:szCs w:val="21"/>
              </w:rPr>
              <w:t>5、近六个月内谈判供应商缴纳企业所得税或增值税的证明（1个月的即可，证明复印件，加盖公章）或事业单位近期纳税证明（缴纳发票复印件，加盖公章）或自然人缴纳个人所得税证明。</w:t>
            </w:r>
          </w:p>
          <w:p>
            <w:pPr>
              <w:spacing w:line="360" w:lineRule="auto"/>
              <w:rPr>
                <w:rFonts w:ascii="仿宋" w:hAnsi="仿宋" w:eastAsia="仿宋" w:cs="仿宋"/>
                <w:szCs w:val="21"/>
              </w:rPr>
            </w:pPr>
            <w:r>
              <w:rPr>
                <w:rFonts w:hint="eastAsia" w:ascii="仿宋" w:hAnsi="仿宋" w:eastAsia="仿宋" w:cs="仿宋"/>
                <w:szCs w:val="21"/>
              </w:rPr>
              <w:t>6、谈判供应商参加政府采购活动近三年内无违法记录的说明（格式自定，原件）</w:t>
            </w:r>
          </w:p>
          <w:p>
            <w:pPr>
              <w:spacing w:line="360" w:lineRule="auto"/>
              <w:rPr>
                <w:rFonts w:ascii="仿宋" w:hAnsi="仿宋" w:eastAsia="仿宋" w:cs="仿宋"/>
                <w:szCs w:val="21"/>
              </w:rPr>
            </w:pPr>
            <w:r>
              <w:rPr>
                <w:rFonts w:hint="eastAsia" w:ascii="仿宋" w:hAnsi="仿宋" w:eastAsia="仿宋" w:cs="仿宋"/>
                <w:szCs w:val="21"/>
              </w:rPr>
              <w:t>7、谈判供应商企业类型声明函、制造商企业类型声明函（原件，符合《政府采购促进中小企业发展暂行办法》（财库[2011]181号）价格扣减条件的谈判供应商须提交）</w:t>
            </w:r>
          </w:p>
          <w:p>
            <w:pPr>
              <w:spacing w:line="360" w:lineRule="auto"/>
              <w:rPr>
                <w:rFonts w:ascii="仿宋" w:hAnsi="仿宋" w:eastAsia="仿宋" w:cs="仿宋"/>
                <w:szCs w:val="21"/>
              </w:rPr>
            </w:pPr>
            <w:r>
              <w:rPr>
                <w:rFonts w:hint="eastAsia" w:ascii="仿宋" w:hAnsi="仿宋" w:eastAsia="仿宋" w:cs="仿宋"/>
                <w:szCs w:val="21"/>
              </w:rPr>
              <w:t>8、投标人认为可以证明其工作和项目能力的其他资质文件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1"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4.1（1）</w:t>
            </w:r>
          </w:p>
        </w:tc>
        <w:tc>
          <w:tcPr>
            <w:tcW w:w="7774" w:type="dxa"/>
            <w:vAlign w:val="center"/>
          </w:tcPr>
          <w:p>
            <w:pPr>
              <w:spacing w:line="360" w:lineRule="auto"/>
              <w:ind w:hanging="50"/>
              <w:jc w:val="left"/>
              <w:rPr>
                <w:rFonts w:ascii="仿宋" w:hAnsi="仿宋" w:eastAsia="仿宋" w:cs="仿宋"/>
                <w:szCs w:val="21"/>
              </w:rPr>
            </w:pPr>
            <w:r>
              <w:rPr>
                <w:rFonts w:hint="eastAsia" w:ascii="仿宋" w:hAnsi="仿宋" w:eastAsia="仿宋" w:cs="仿宋"/>
                <w:szCs w:val="21"/>
              </w:rPr>
              <w:t>响应文件其他内容：无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5.1</w:t>
            </w:r>
          </w:p>
        </w:tc>
        <w:tc>
          <w:tcPr>
            <w:tcW w:w="7774" w:type="dxa"/>
            <w:vAlign w:val="center"/>
          </w:tcPr>
          <w:p>
            <w:pPr>
              <w:spacing w:line="360" w:lineRule="auto"/>
              <w:ind w:hanging="50"/>
              <w:jc w:val="left"/>
              <w:rPr>
                <w:rFonts w:ascii="仿宋" w:hAnsi="仿宋" w:eastAsia="仿宋" w:cs="仿宋"/>
                <w:szCs w:val="21"/>
                <w:u w:val="single"/>
              </w:rPr>
            </w:pPr>
            <w:r>
              <w:rPr>
                <w:rFonts w:hint="eastAsia" w:ascii="仿宋" w:hAnsi="仿宋" w:eastAsia="仿宋" w:cs="仿宋"/>
                <w:szCs w:val="21"/>
              </w:rPr>
              <w:t>响应文件有效期：</w:t>
            </w:r>
            <w:r>
              <w:rPr>
                <w:rFonts w:hint="eastAsia" w:ascii="仿宋" w:hAnsi="仿宋" w:eastAsia="仿宋" w:cs="仿宋"/>
                <w:szCs w:val="21"/>
                <w:u w:val="single"/>
              </w:rPr>
              <w:t>90</w:t>
            </w:r>
            <w:r>
              <w:rPr>
                <w:rFonts w:hint="eastAsia" w:ascii="仿宋" w:hAnsi="仿宋" w:eastAsia="仿宋" w:cs="仿宋"/>
                <w:szCs w:val="21"/>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0"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6.1</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响应文件数量：</w:t>
            </w:r>
          </w:p>
          <w:p>
            <w:pPr>
              <w:spacing w:line="360" w:lineRule="auto"/>
              <w:rPr>
                <w:rFonts w:ascii="仿宋" w:hAnsi="仿宋" w:eastAsia="仿宋" w:cs="仿宋"/>
                <w:szCs w:val="21"/>
              </w:rPr>
            </w:pPr>
            <w:r>
              <w:rPr>
                <w:rFonts w:hint="eastAsia" w:ascii="仿宋" w:hAnsi="仿宋" w:eastAsia="仿宋" w:cs="仿宋"/>
                <w:szCs w:val="21"/>
              </w:rPr>
              <w:t>正本：</w:t>
            </w:r>
            <w:r>
              <w:rPr>
                <w:rFonts w:hint="eastAsia" w:ascii="仿宋" w:hAnsi="仿宋" w:eastAsia="仿宋" w:cs="仿宋"/>
                <w:szCs w:val="21"/>
                <w:u w:val="single"/>
              </w:rPr>
              <w:t>1</w:t>
            </w:r>
            <w:r>
              <w:rPr>
                <w:rFonts w:hint="eastAsia" w:ascii="仿宋" w:hAnsi="仿宋" w:eastAsia="仿宋" w:cs="仿宋"/>
                <w:szCs w:val="21"/>
              </w:rPr>
              <w:t>份、副本：</w:t>
            </w:r>
            <w:r>
              <w:rPr>
                <w:rFonts w:hint="eastAsia" w:ascii="仿宋" w:hAnsi="仿宋" w:eastAsia="仿宋" w:cs="仿宋"/>
                <w:szCs w:val="21"/>
                <w:u w:val="single"/>
              </w:rPr>
              <w:t>2</w:t>
            </w:r>
            <w:r>
              <w:rPr>
                <w:rFonts w:hint="eastAsia" w:ascii="仿宋" w:hAnsi="仿宋" w:eastAsia="仿宋" w:cs="仿宋"/>
                <w:szCs w:val="21"/>
              </w:rPr>
              <w:t>份</w:t>
            </w:r>
          </w:p>
          <w:p>
            <w:pPr>
              <w:spacing w:line="360" w:lineRule="auto"/>
              <w:rPr>
                <w:rFonts w:ascii="仿宋" w:hAnsi="仿宋" w:eastAsia="仿宋" w:cs="仿宋"/>
                <w:szCs w:val="21"/>
                <w:u w:val="single"/>
              </w:rPr>
            </w:pPr>
            <w:r>
              <w:rPr>
                <w:rFonts w:hint="eastAsia" w:ascii="仿宋" w:hAnsi="仿宋" w:eastAsia="仿宋" w:cs="仿宋"/>
                <w:szCs w:val="21"/>
              </w:rPr>
              <w:t>电子文档：</w:t>
            </w:r>
            <w:r>
              <w:rPr>
                <w:rFonts w:hint="eastAsia" w:ascii="仿宋" w:hAnsi="仿宋" w:eastAsia="仿宋" w:cs="仿宋"/>
                <w:szCs w:val="21"/>
                <w:u w:val="single"/>
              </w:rPr>
              <w:t>1</w:t>
            </w:r>
            <w:r>
              <w:rPr>
                <w:rFonts w:hint="eastAsia" w:ascii="仿宋" w:hAnsi="仿宋" w:eastAsia="仿宋" w:cs="仿宋"/>
                <w:szCs w:val="21"/>
              </w:rPr>
              <w:t>份（正本扫描件电子文档</w:t>
            </w:r>
            <w:r>
              <w:rPr>
                <w:rFonts w:hint="eastAsia" w:ascii="仿宋" w:hAnsi="仿宋" w:eastAsia="仿宋" w:cs="仿宋"/>
                <w:szCs w:val="21"/>
                <w:u w:val="single"/>
              </w:rPr>
              <w:t>1</w:t>
            </w:r>
            <w:r>
              <w:rPr>
                <w:rFonts w:hint="eastAsia" w:ascii="仿宋" w:hAnsi="仿宋" w:eastAsia="仿宋" w:cs="仿宋"/>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7.1</w:t>
            </w:r>
          </w:p>
        </w:tc>
        <w:tc>
          <w:tcPr>
            <w:tcW w:w="7774" w:type="dxa"/>
            <w:vAlign w:val="center"/>
          </w:tcPr>
          <w:p>
            <w:pPr>
              <w:spacing w:line="360" w:lineRule="auto"/>
              <w:ind w:left="1260" w:hanging="1260" w:hangingChars="600"/>
              <w:rPr>
                <w:rFonts w:ascii="仿宋" w:hAnsi="仿宋" w:eastAsia="仿宋" w:cs="仿宋"/>
                <w:szCs w:val="21"/>
              </w:rPr>
            </w:pPr>
            <w:r>
              <w:rPr>
                <w:rFonts w:hint="eastAsia" w:ascii="仿宋" w:hAnsi="仿宋" w:eastAsia="仿宋" w:cs="仿宋"/>
                <w:szCs w:val="21"/>
              </w:rPr>
              <w:t>保证金形式：无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40" w:type="dxa"/>
            <w:gridSpan w:val="2"/>
            <w:vAlign w:val="center"/>
          </w:tcPr>
          <w:p>
            <w:pPr>
              <w:spacing w:line="360" w:lineRule="auto"/>
              <w:ind w:left="268" w:leftChars="128"/>
              <w:jc w:val="center"/>
              <w:rPr>
                <w:rFonts w:ascii="仿宋" w:hAnsi="仿宋" w:eastAsia="仿宋" w:cs="仿宋"/>
                <w:szCs w:val="21"/>
              </w:rPr>
            </w:pPr>
            <w:r>
              <w:rPr>
                <w:rFonts w:hint="eastAsia" w:ascii="仿宋" w:hAnsi="仿宋" w:eastAsia="仿宋" w:cs="仿宋"/>
                <w:szCs w:val="21"/>
              </w:rPr>
              <w:t>8.1</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谈判文件可以修改变动的内容：</w:t>
            </w:r>
            <w:r>
              <w:rPr>
                <w:rFonts w:hint="eastAsia" w:ascii="仿宋" w:hAnsi="仿宋" w:eastAsia="仿宋" w:cs="仿宋"/>
                <w:szCs w:val="21"/>
                <w:u w:val="single"/>
              </w:rPr>
              <w:t>技术、服务要求以及合同草案条款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9.1</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谈判小组推荐成交候选人数量：</w:t>
            </w:r>
            <w:r>
              <w:rPr>
                <w:rFonts w:hint="eastAsia" w:ascii="仿宋" w:hAnsi="仿宋" w:eastAsia="仿宋" w:cs="仿宋"/>
                <w:szCs w:val="21"/>
                <w:u w:val="single"/>
              </w:rPr>
              <w:t>1</w:t>
            </w:r>
            <w:r>
              <w:rPr>
                <w:rFonts w:hint="eastAsia" w:ascii="仿宋" w:hAnsi="仿宋" w:eastAsia="仿宋" w:cs="仿宋"/>
                <w:szCs w:val="21"/>
              </w:rPr>
              <w:t>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11" w:hRule="atLeast"/>
        </w:trPr>
        <w:tc>
          <w:tcPr>
            <w:tcW w:w="9214" w:type="dxa"/>
            <w:gridSpan w:val="3"/>
            <w:tcBorders>
              <w:top w:val="single" w:color="auto" w:sz="12" w:space="0"/>
              <w:left w:val="single" w:color="auto" w:sz="12" w:space="0"/>
              <w:bottom w:val="single" w:color="auto" w:sz="12" w:space="0"/>
              <w:right w:val="single" w:color="auto" w:sz="12" w:space="0"/>
            </w:tcBorders>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适用于谈判供应商须知的额外增加的变动：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1" w:hRule="atLeast"/>
        </w:trPr>
        <w:tc>
          <w:tcPr>
            <w:tcW w:w="1418" w:type="dxa"/>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1</w:t>
            </w:r>
          </w:p>
        </w:tc>
        <w:tc>
          <w:tcPr>
            <w:tcW w:w="7796" w:type="dxa"/>
            <w:gridSpan w:val="2"/>
            <w:vAlign w:val="center"/>
          </w:tcPr>
          <w:p>
            <w:pPr>
              <w:spacing w:line="360" w:lineRule="auto"/>
              <w:rPr>
                <w:rFonts w:ascii="仿宋" w:hAnsi="仿宋" w:eastAsia="仿宋" w:cs="仿宋"/>
                <w:szCs w:val="21"/>
              </w:rPr>
            </w:pPr>
            <w:r>
              <w:rPr>
                <w:rFonts w:hint="eastAsia" w:ascii="仿宋" w:hAnsi="仿宋" w:eastAsia="仿宋" w:cs="仿宋"/>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1" w:hRule="atLeast"/>
        </w:trPr>
        <w:tc>
          <w:tcPr>
            <w:tcW w:w="9214" w:type="dxa"/>
            <w:gridSpan w:val="3"/>
            <w:vAlign w:val="center"/>
          </w:tcPr>
          <w:p>
            <w:pPr>
              <w:spacing w:line="360" w:lineRule="auto"/>
              <w:rPr>
                <w:rFonts w:ascii="仿宋" w:hAnsi="仿宋" w:eastAsia="仿宋" w:cs="仿宋"/>
                <w:szCs w:val="21"/>
              </w:rPr>
            </w:pPr>
            <w:r>
              <w:rPr>
                <w:rFonts w:hint="eastAsia" w:ascii="仿宋" w:hAnsi="仿宋" w:eastAsia="仿宋" w:cs="仿宋"/>
                <w:szCs w:val="21"/>
              </w:rPr>
              <w:t>其他</w:t>
            </w:r>
          </w:p>
        </w:tc>
      </w:tr>
    </w:tbl>
    <w:p>
      <w:pPr>
        <w:spacing w:line="360" w:lineRule="auto"/>
        <w:jc w:val="center"/>
        <w:rPr>
          <w:rFonts w:ascii="仿宋" w:hAnsi="仿宋" w:eastAsia="仿宋" w:cs="仿宋"/>
          <w:szCs w:val="21"/>
        </w:rPr>
      </w:pPr>
    </w:p>
    <w:p>
      <w:pPr>
        <w:pStyle w:val="3"/>
        <w:spacing w:before="0" w:after="0" w:line="360" w:lineRule="auto"/>
        <w:rPr>
          <w:rFonts w:ascii="仿宋" w:hAnsi="仿宋" w:eastAsia="仿宋" w:cs="仿宋"/>
          <w:sz w:val="21"/>
          <w:szCs w:val="21"/>
        </w:rPr>
      </w:pPr>
      <w:r>
        <w:rPr>
          <w:rFonts w:hint="eastAsia" w:ascii="仿宋" w:hAnsi="仿宋" w:eastAsia="仿宋" w:cs="仿宋"/>
          <w:sz w:val="21"/>
          <w:szCs w:val="21"/>
        </w:rPr>
        <w:br w:type="page"/>
      </w:r>
      <w:bookmarkStart w:id="7" w:name="_Toc380479087"/>
    </w:p>
    <w:p>
      <w:pPr>
        <w:pStyle w:val="4"/>
        <w:keepNext w:val="0"/>
        <w:keepLines w:val="0"/>
        <w:tabs>
          <w:tab w:val="left" w:pos="4253"/>
        </w:tabs>
        <w:spacing w:before="0" w:after="0" w:line="360" w:lineRule="auto"/>
        <w:jc w:val="center"/>
        <w:rPr>
          <w:rFonts w:ascii="仿宋" w:hAnsi="仿宋" w:eastAsia="仿宋" w:cs="仿宋"/>
          <w:sz w:val="21"/>
          <w:szCs w:val="21"/>
        </w:rPr>
      </w:pPr>
      <w:bookmarkStart w:id="8" w:name="_Toc20847"/>
      <w:bookmarkStart w:id="9" w:name="_Toc482601724"/>
      <w:r>
        <w:rPr>
          <w:rFonts w:hint="eastAsia" w:ascii="仿宋" w:hAnsi="仿宋" w:eastAsia="仿宋" w:cs="仿宋"/>
          <w:bCs w:val="0"/>
          <w:sz w:val="21"/>
          <w:szCs w:val="21"/>
        </w:rPr>
        <w:t>投标人须知正文</w:t>
      </w:r>
      <w:bookmarkEnd w:id="8"/>
      <w:bookmarkEnd w:id="9"/>
    </w:p>
    <w:p>
      <w:pPr>
        <w:pStyle w:val="3"/>
        <w:spacing w:before="0" w:after="0" w:line="360" w:lineRule="auto"/>
        <w:rPr>
          <w:rFonts w:ascii="仿宋" w:hAnsi="仿宋" w:eastAsia="仿宋" w:cs="仿宋"/>
          <w:sz w:val="21"/>
          <w:szCs w:val="21"/>
        </w:rPr>
      </w:pPr>
      <w:r>
        <w:rPr>
          <w:rFonts w:hint="eastAsia" w:ascii="仿宋" w:hAnsi="仿宋" w:eastAsia="仿宋" w:cs="仿宋"/>
          <w:sz w:val="21"/>
          <w:szCs w:val="21"/>
        </w:rPr>
        <w:t>一  总 则</w:t>
      </w:r>
      <w:bookmarkEnd w:id="7"/>
    </w:p>
    <w:p>
      <w:pPr>
        <w:pStyle w:val="3"/>
        <w:spacing w:before="0" w:after="0" w:line="360" w:lineRule="auto"/>
        <w:jc w:val="left"/>
        <w:rPr>
          <w:rFonts w:ascii="仿宋" w:hAnsi="仿宋" w:eastAsia="仿宋" w:cs="仿宋"/>
          <w:sz w:val="21"/>
          <w:szCs w:val="21"/>
        </w:rPr>
      </w:pPr>
      <w:bookmarkStart w:id="10" w:name="_Toc380479088"/>
      <w:r>
        <w:rPr>
          <w:rFonts w:hint="eastAsia" w:ascii="仿宋" w:hAnsi="仿宋" w:eastAsia="仿宋" w:cs="仿宋"/>
          <w:sz w:val="21"/>
          <w:szCs w:val="21"/>
        </w:rPr>
        <w:t>1．项目简介</w:t>
      </w:r>
      <w:bookmarkEnd w:id="10"/>
    </w:p>
    <w:p>
      <w:pPr>
        <w:spacing w:line="360" w:lineRule="auto"/>
        <w:ind w:firstLine="315" w:firstLineChars="150"/>
        <w:rPr>
          <w:rFonts w:ascii="仿宋" w:hAnsi="仿宋" w:eastAsia="仿宋" w:cs="仿宋"/>
          <w:color w:val="000000"/>
          <w:kern w:val="0"/>
          <w:szCs w:val="21"/>
        </w:rPr>
      </w:pPr>
      <w:r>
        <w:rPr>
          <w:rFonts w:hint="eastAsia" w:ascii="仿宋" w:hAnsi="仿宋" w:eastAsia="仿宋" w:cs="仿宋"/>
          <w:color w:val="000000"/>
          <w:kern w:val="0"/>
          <w:szCs w:val="21"/>
        </w:rPr>
        <w:t>我院是中国地震局直属的高等院校，地处河北省三河市燕郊经济技术开发区，因学院发展需要，拟对以下项目进行采购，具体如下：</w:t>
      </w:r>
    </w:p>
    <w:p>
      <w:pPr>
        <w:spacing w:line="360" w:lineRule="auto"/>
        <w:ind w:firstLine="420" w:firstLineChars="200"/>
        <w:rPr>
          <w:rFonts w:ascii="仿宋" w:hAnsi="仿宋" w:eastAsia="仿宋" w:cs="仿宋"/>
          <w:b/>
          <w:color w:val="000000"/>
          <w:kern w:val="0"/>
          <w:szCs w:val="21"/>
        </w:rPr>
      </w:pPr>
      <w:r>
        <w:rPr>
          <w:rFonts w:hint="eastAsia" w:ascii="仿宋" w:hAnsi="仿宋" w:eastAsia="仿宋" w:cs="仿宋"/>
          <w:b/>
          <w:color w:val="000000"/>
          <w:kern w:val="0"/>
          <w:szCs w:val="21"/>
        </w:rPr>
        <w:t>1.1项目概况</w:t>
      </w:r>
    </w:p>
    <w:p>
      <w:pPr>
        <w:spacing w:line="360" w:lineRule="auto"/>
        <w:ind w:firstLine="315" w:firstLineChars="150"/>
        <w:rPr>
          <w:rFonts w:ascii="仿宋" w:hAnsi="仿宋" w:eastAsia="仿宋" w:cs="仿宋"/>
          <w:color w:val="000000"/>
          <w:kern w:val="0"/>
          <w:szCs w:val="21"/>
        </w:rPr>
      </w:pPr>
      <w:r>
        <w:rPr>
          <w:rFonts w:hint="eastAsia" w:ascii="仿宋" w:hAnsi="仿宋" w:eastAsia="仿宋" w:cs="仿宋"/>
          <w:color w:val="000000"/>
          <w:kern w:val="0"/>
          <w:szCs w:val="21"/>
        </w:rPr>
        <w:t>采购项目：</w:t>
      </w:r>
    </w:p>
    <w:tbl>
      <w:tblPr>
        <w:tblStyle w:val="29"/>
        <w:tblpPr w:leftFromText="180" w:rightFromText="180" w:vertAnchor="text" w:horzAnchor="page" w:tblpX="1937" w:tblpY="196"/>
        <w:tblOverlap w:val="never"/>
        <w:tblW w:w="7703" w:type="dxa"/>
        <w:tblInd w:w="0" w:type="dxa"/>
        <w:tblLayout w:type="fixed"/>
        <w:tblCellMar>
          <w:top w:w="0" w:type="dxa"/>
          <w:left w:w="0" w:type="dxa"/>
          <w:bottom w:w="0" w:type="dxa"/>
          <w:right w:w="0" w:type="dxa"/>
        </w:tblCellMar>
      </w:tblPr>
      <w:tblGrid>
        <w:gridCol w:w="3833"/>
        <w:gridCol w:w="1230"/>
        <w:gridCol w:w="2640"/>
      </w:tblGrid>
      <w:tr>
        <w:tblPrEx>
          <w:tblLayout w:type="fixed"/>
          <w:tblCellMar>
            <w:top w:w="0" w:type="dxa"/>
            <w:left w:w="0" w:type="dxa"/>
            <w:bottom w:w="0" w:type="dxa"/>
            <w:right w:w="0" w:type="dxa"/>
          </w:tblCellMar>
        </w:tblPrEx>
        <w:trPr>
          <w:trHeight w:val="285" w:hRule="atLeast"/>
        </w:trPr>
        <w:tc>
          <w:tcPr>
            <w:tcW w:w="38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名称型号</w:t>
            </w:r>
          </w:p>
        </w:tc>
        <w:tc>
          <w:tcPr>
            <w:tcW w:w="12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数量</w:t>
            </w:r>
          </w:p>
        </w:tc>
        <w:tc>
          <w:tcPr>
            <w:tcW w:w="26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单位</w:t>
            </w:r>
          </w:p>
        </w:tc>
      </w:tr>
      <w:tr>
        <w:tblPrEx>
          <w:tblLayout w:type="fixed"/>
          <w:tblCellMar>
            <w:top w:w="0" w:type="dxa"/>
            <w:left w:w="0" w:type="dxa"/>
            <w:bottom w:w="0" w:type="dxa"/>
            <w:right w:w="0" w:type="dxa"/>
          </w:tblCellMar>
        </w:tblPrEx>
        <w:trPr>
          <w:trHeight w:val="300" w:hRule="atLeast"/>
        </w:trPr>
        <w:tc>
          <w:tcPr>
            <w:tcW w:w="38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themeColor="text1"/>
                <w:sz w:val="21"/>
                <w:szCs w:val="21"/>
              </w:rPr>
              <w:t>防灾科技学院创客空间环境改造采购项目</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26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套</w:t>
            </w:r>
          </w:p>
        </w:tc>
      </w:tr>
    </w:tbl>
    <w:p>
      <w:pPr>
        <w:spacing w:line="360" w:lineRule="auto"/>
        <w:rPr>
          <w:rFonts w:ascii="仿宋" w:hAnsi="仿宋" w:eastAsia="仿宋" w:cs="仿宋"/>
          <w:color w:val="000000"/>
          <w:kern w:val="0"/>
          <w:szCs w:val="21"/>
        </w:rPr>
      </w:pPr>
    </w:p>
    <w:p>
      <w:pPr>
        <w:spacing w:line="360" w:lineRule="auto"/>
        <w:ind w:firstLine="420" w:firstLineChars="200"/>
        <w:rPr>
          <w:rFonts w:ascii="仿宋" w:hAnsi="仿宋" w:eastAsia="仿宋" w:cs="仿宋"/>
          <w:color w:val="FF0000"/>
          <w:kern w:val="0"/>
          <w:szCs w:val="21"/>
        </w:rPr>
      </w:pPr>
    </w:p>
    <w:p>
      <w:pPr>
        <w:autoSpaceDE w:val="0"/>
        <w:autoSpaceDN w:val="0"/>
        <w:adjustRightInd w:val="0"/>
        <w:spacing w:line="600" w:lineRule="exact"/>
        <w:jc w:val="left"/>
        <w:textAlignment w:val="baseline"/>
        <w:rPr>
          <w:rFonts w:ascii="仿宋" w:hAnsi="仿宋" w:eastAsia="仿宋" w:cs="仿宋"/>
          <w:color w:val="000000"/>
          <w:kern w:val="0"/>
          <w:szCs w:val="21"/>
        </w:rPr>
      </w:pPr>
    </w:p>
    <w:p>
      <w:pPr>
        <w:pStyle w:val="3"/>
        <w:spacing w:before="0" w:after="0" w:line="360" w:lineRule="auto"/>
        <w:jc w:val="left"/>
        <w:rPr>
          <w:rFonts w:ascii="仿宋" w:hAnsi="仿宋" w:eastAsia="仿宋" w:cs="仿宋"/>
          <w:sz w:val="21"/>
          <w:szCs w:val="21"/>
        </w:rPr>
      </w:pPr>
      <w:bookmarkStart w:id="11" w:name="_Toc380479089"/>
      <w:r>
        <w:rPr>
          <w:rFonts w:hint="eastAsia" w:ascii="仿宋" w:hAnsi="仿宋" w:eastAsia="仿宋" w:cs="仿宋"/>
          <w:sz w:val="21"/>
          <w:szCs w:val="21"/>
        </w:rPr>
        <w:t>2．合格供应商资格条件</w:t>
      </w:r>
      <w:bookmarkEnd w:id="11"/>
    </w:p>
    <w:p>
      <w:pPr>
        <w:pStyle w:val="15"/>
        <w:spacing w:line="360" w:lineRule="auto"/>
        <w:ind w:firstLine="0"/>
        <w:rPr>
          <w:rFonts w:ascii="仿宋" w:hAnsi="仿宋" w:eastAsia="仿宋" w:cs="仿宋"/>
          <w:sz w:val="21"/>
          <w:szCs w:val="21"/>
        </w:rPr>
      </w:pPr>
      <w:r>
        <w:rPr>
          <w:rFonts w:hint="eastAsia" w:ascii="仿宋" w:hAnsi="仿宋" w:eastAsia="仿宋" w:cs="仿宋"/>
          <w:sz w:val="21"/>
          <w:szCs w:val="21"/>
        </w:rPr>
        <w:t>2.1 满足以下条件的供应商是合格的谈判供应商，可以参加本次竞争性谈判：</w:t>
      </w:r>
    </w:p>
    <w:p>
      <w:pPr>
        <w:pStyle w:val="15"/>
        <w:spacing w:line="360" w:lineRule="auto"/>
        <w:ind w:firstLine="0"/>
        <w:rPr>
          <w:rFonts w:ascii="仿宋" w:hAnsi="仿宋" w:eastAsia="仿宋" w:cs="仿宋"/>
          <w:sz w:val="21"/>
          <w:szCs w:val="21"/>
        </w:rPr>
      </w:pPr>
      <w:r>
        <w:rPr>
          <w:rFonts w:hint="eastAsia" w:ascii="仿宋" w:hAnsi="仿宋" w:eastAsia="仿宋" w:cs="仿宋"/>
          <w:sz w:val="21"/>
          <w:szCs w:val="21"/>
        </w:rPr>
        <w:t>（1）在中华人民共和国境内注册，能够独立承担民事责任，有生产或供应能力的本国供应商，包括企业法人、其他组织、自然人或者联合体。</w:t>
      </w:r>
    </w:p>
    <w:p>
      <w:pPr>
        <w:pStyle w:val="15"/>
        <w:spacing w:line="360" w:lineRule="auto"/>
        <w:ind w:firstLine="0"/>
        <w:rPr>
          <w:rFonts w:ascii="仿宋" w:hAnsi="仿宋" w:eastAsia="仿宋" w:cs="仿宋"/>
          <w:sz w:val="21"/>
          <w:szCs w:val="21"/>
        </w:rPr>
      </w:pPr>
      <w:r>
        <w:rPr>
          <w:rFonts w:hint="eastAsia" w:ascii="仿宋" w:hAnsi="仿宋" w:eastAsia="仿宋" w:cs="仿宋"/>
          <w:sz w:val="21"/>
          <w:szCs w:val="21"/>
        </w:rPr>
        <w:t>（2）具备《中华人民共和国政府采购法》第二十二条关于供应商条件的规定，具备其它法规规定的本项目供应商应当具备的资格条件。遵守国家有关法规和政府采购的有关规定。</w:t>
      </w:r>
    </w:p>
    <w:p>
      <w:pPr>
        <w:pStyle w:val="15"/>
        <w:spacing w:line="360" w:lineRule="auto"/>
        <w:ind w:firstLine="0"/>
        <w:rPr>
          <w:rFonts w:ascii="仿宋" w:hAnsi="仿宋" w:eastAsia="仿宋" w:cs="仿宋"/>
          <w:sz w:val="21"/>
          <w:szCs w:val="21"/>
        </w:rPr>
      </w:pPr>
      <w:r>
        <w:rPr>
          <w:rFonts w:hint="eastAsia" w:ascii="仿宋" w:hAnsi="仿宋" w:eastAsia="仿宋" w:cs="仿宋"/>
          <w:sz w:val="21"/>
          <w:szCs w:val="21"/>
        </w:rPr>
        <w:t>（3）从招标方正式获得了本项目的竞争性谈判文件。</w:t>
      </w:r>
    </w:p>
    <w:p>
      <w:pPr>
        <w:pStyle w:val="15"/>
        <w:spacing w:line="360" w:lineRule="auto"/>
        <w:ind w:firstLine="0"/>
        <w:rPr>
          <w:rFonts w:ascii="仿宋" w:hAnsi="仿宋" w:eastAsia="仿宋" w:cs="仿宋"/>
          <w:sz w:val="21"/>
          <w:szCs w:val="21"/>
        </w:rPr>
      </w:pPr>
      <w:r>
        <w:rPr>
          <w:rFonts w:hint="eastAsia" w:ascii="仿宋" w:hAnsi="仿宋" w:eastAsia="仿宋" w:cs="仿宋"/>
          <w:sz w:val="21"/>
          <w:szCs w:val="21"/>
        </w:rPr>
        <w:t>（4）符合</w:t>
      </w:r>
      <w:r>
        <w:rPr>
          <w:rFonts w:hint="eastAsia" w:ascii="仿宋" w:hAnsi="仿宋" w:eastAsia="仿宋" w:cs="仿宋"/>
          <w:sz w:val="21"/>
          <w:szCs w:val="21"/>
          <w:u w:val="single"/>
        </w:rPr>
        <w:t>前附表</w:t>
      </w:r>
      <w:r>
        <w:rPr>
          <w:rFonts w:hint="eastAsia" w:ascii="仿宋" w:hAnsi="仿宋" w:eastAsia="仿宋" w:cs="仿宋"/>
          <w:sz w:val="21"/>
          <w:szCs w:val="21"/>
        </w:rPr>
        <w:t>中规定的其他要求。</w:t>
      </w:r>
    </w:p>
    <w:p>
      <w:pPr>
        <w:pStyle w:val="15"/>
        <w:spacing w:line="360" w:lineRule="auto"/>
        <w:ind w:firstLine="0"/>
        <w:rPr>
          <w:rFonts w:ascii="仿宋" w:hAnsi="仿宋" w:eastAsia="仿宋" w:cs="仿宋"/>
          <w:sz w:val="21"/>
          <w:szCs w:val="21"/>
        </w:rPr>
      </w:pPr>
      <w:r>
        <w:rPr>
          <w:rFonts w:hint="eastAsia" w:ascii="仿宋" w:hAnsi="仿宋" w:eastAsia="仿宋" w:cs="仿宋"/>
          <w:sz w:val="21"/>
          <w:szCs w:val="21"/>
        </w:rPr>
        <w:t>（5）若</w:t>
      </w:r>
      <w:r>
        <w:rPr>
          <w:rFonts w:hint="eastAsia" w:ascii="仿宋" w:hAnsi="仿宋" w:eastAsia="仿宋" w:cs="仿宋"/>
          <w:sz w:val="21"/>
          <w:szCs w:val="21"/>
          <w:u w:val="single"/>
        </w:rPr>
        <w:t>前附表</w:t>
      </w:r>
      <w:r>
        <w:rPr>
          <w:rFonts w:hint="eastAsia" w:ascii="仿宋" w:hAnsi="仿宋" w:eastAsia="仿宋" w:cs="仿宋"/>
          <w:sz w:val="21"/>
          <w:szCs w:val="21"/>
        </w:rPr>
        <w:t>中写明专门面向中小企业采购的，如供应商所报服务为非中小企业提供，其响应文件将作为无效文件被拒绝。</w:t>
      </w:r>
    </w:p>
    <w:p>
      <w:pPr>
        <w:pStyle w:val="15"/>
        <w:spacing w:line="360" w:lineRule="auto"/>
        <w:ind w:firstLine="0"/>
        <w:rPr>
          <w:rFonts w:ascii="仿宋" w:hAnsi="仿宋" w:eastAsia="仿宋" w:cs="仿宋"/>
          <w:sz w:val="21"/>
          <w:szCs w:val="21"/>
        </w:rPr>
      </w:pPr>
      <w:r>
        <w:rPr>
          <w:rFonts w:hint="eastAsia" w:ascii="仿宋" w:hAnsi="仿宋" w:eastAsia="仿宋" w:cs="仿宋"/>
          <w:sz w:val="21"/>
          <w:szCs w:val="21"/>
        </w:rPr>
        <w:t xml:space="preserve">2.2 </w:t>
      </w:r>
      <w:r>
        <w:rPr>
          <w:rFonts w:hint="eastAsia" w:ascii="仿宋" w:hAnsi="仿宋" w:eastAsia="仿宋" w:cs="仿宋"/>
          <w:sz w:val="21"/>
          <w:szCs w:val="21"/>
          <w:u w:val="single"/>
        </w:rPr>
        <w:t>前附表</w:t>
      </w:r>
      <w:r>
        <w:rPr>
          <w:rFonts w:hint="eastAsia" w:ascii="仿宋" w:hAnsi="仿宋" w:eastAsia="仿宋" w:cs="仿宋"/>
          <w:sz w:val="21"/>
          <w:szCs w:val="21"/>
        </w:rPr>
        <w:t>中是否允许联合体参加谈判。</w:t>
      </w:r>
    </w:p>
    <w:p>
      <w:pPr>
        <w:pStyle w:val="15"/>
        <w:spacing w:line="360" w:lineRule="auto"/>
        <w:ind w:firstLine="0"/>
        <w:rPr>
          <w:rFonts w:ascii="仿宋" w:hAnsi="仿宋" w:eastAsia="仿宋" w:cs="仿宋"/>
          <w:sz w:val="21"/>
          <w:szCs w:val="21"/>
        </w:rPr>
      </w:pPr>
      <w:r>
        <w:rPr>
          <w:rFonts w:hint="eastAsia" w:ascii="仿宋" w:hAnsi="仿宋" w:eastAsia="仿宋" w:cs="仿宋"/>
          <w:sz w:val="21"/>
          <w:szCs w:val="21"/>
        </w:rPr>
        <w:t>2.3如允许联合体参加谈判，对联合体的要求见</w:t>
      </w:r>
      <w:r>
        <w:rPr>
          <w:rFonts w:hint="eastAsia" w:ascii="仿宋" w:hAnsi="仿宋" w:eastAsia="仿宋" w:cs="仿宋"/>
          <w:sz w:val="21"/>
          <w:szCs w:val="21"/>
          <w:u w:val="single"/>
        </w:rPr>
        <w:t>前附表</w:t>
      </w:r>
      <w:r>
        <w:rPr>
          <w:rFonts w:hint="eastAsia" w:ascii="仿宋" w:hAnsi="仿宋" w:eastAsia="仿宋" w:cs="仿宋"/>
          <w:sz w:val="21"/>
          <w:szCs w:val="21"/>
        </w:rPr>
        <w:t>。</w:t>
      </w:r>
    </w:p>
    <w:p>
      <w:pPr>
        <w:pStyle w:val="15"/>
        <w:spacing w:line="360" w:lineRule="auto"/>
        <w:ind w:firstLine="0"/>
        <w:rPr>
          <w:rFonts w:ascii="仿宋" w:hAnsi="仿宋" w:eastAsia="仿宋" w:cs="仿宋"/>
          <w:sz w:val="21"/>
          <w:szCs w:val="21"/>
        </w:rPr>
      </w:pPr>
      <w:r>
        <w:rPr>
          <w:rFonts w:hint="eastAsia" w:ascii="仿宋" w:hAnsi="仿宋" w:eastAsia="仿宋" w:cs="仿宋"/>
          <w:sz w:val="21"/>
          <w:szCs w:val="21"/>
        </w:rPr>
        <w:t>单位负责人为同一人或者存在直接控股、管理关系的不同供应商，不得参加同一合同项下的政府采购活动。</w:t>
      </w:r>
    </w:p>
    <w:p>
      <w:pPr>
        <w:pStyle w:val="3"/>
        <w:spacing w:before="0" w:after="0" w:line="360" w:lineRule="auto"/>
        <w:jc w:val="left"/>
        <w:rPr>
          <w:rFonts w:ascii="仿宋" w:hAnsi="仿宋" w:eastAsia="仿宋" w:cs="仿宋"/>
          <w:sz w:val="21"/>
          <w:szCs w:val="21"/>
        </w:rPr>
      </w:pPr>
      <w:bookmarkStart w:id="12" w:name="_Toc380479090"/>
      <w:r>
        <w:rPr>
          <w:rFonts w:hint="eastAsia" w:ascii="仿宋" w:hAnsi="仿宋" w:eastAsia="仿宋" w:cs="仿宋"/>
          <w:sz w:val="21"/>
          <w:szCs w:val="21"/>
        </w:rPr>
        <w:t>3．适用法律和谈判费用</w:t>
      </w:r>
      <w:bookmarkEnd w:id="12"/>
    </w:p>
    <w:p>
      <w:pPr>
        <w:pStyle w:val="15"/>
        <w:spacing w:line="360" w:lineRule="auto"/>
        <w:ind w:firstLine="0"/>
        <w:rPr>
          <w:rFonts w:ascii="仿宋" w:hAnsi="仿宋" w:eastAsia="仿宋" w:cs="仿宋"/>
          <w:sz w:val="21"/>
          <w:szCs w:val="21"/>
        </w:rPr>
      </w:pPr>
      <w:r>
        <w:rPr>
          <w:rFonts w:hint="eastAsia" w:ascii="仿宋" w:hAnsi="仿宋" w:eastAsia="仿宋" w:cs="仿宋"/>
          <w:sz w:val="21"/>
          <w:szCs w:val="21"/>
        </w:rPr>
        <w:t>3.1 本次采购活动及由此产生的合同受《中华人民共和国政府采购法》及其他有关的法律法规制约和保护。</w:t>
      </w:r>
    </w:p>
    <w:p>
      <w:pPr>
        <w:pStyle w:val="15"/>
        <w:spacing w:line="360" w:lineRule="auto"/>
        <w:ind w:firstLine="0"/>
        <w:rPr>
          <w:rFonts w:ascii="仿宋" w:hAnsi="仿宋" w:eastAsia="仿宋" w:cs="仿宋"/>
          <w:sz w:val="21"/>
          <w:szCs w:val="21"/>
        </w:rPr>
      </w:pPr>
      <w:r>
        <w:rPr>
          <w:rFonts w:hint="eastAsia" w:ascii="仿宋" w:hAnsi="仿宋" w:eastAsia="仿宋" w:cs="仿宋"/>
          <w:sz w:val="21"/>
          <w:szCs w:val="21"/>
        </w:rPr>
        <w:t>3.2 谈判供应商应承担自身所有与谈判活动有关的费用，不论谈判的结果如何，在任何情况下谈判组织者均无义务和责任承担这些费用。</w:t>
      </w:r>
    </w:p>
    <w:p>
      <w:pPr>
        <w:pStyle w:val="15"/>
        <w:spacing w:line="360" w:lineRule="auto"/>
        <w:rPr>
          <w:rFonts w:ascii="仿宋" w:hAnsi="仿宋" w:eastAsia="仿宋" w:cs="仿宋"/>
          <w:sz w:val="21"/>
          <w:szCs w:val="21"/>
        </w:rPr>
      </w:pPr>
    </w:p>
    <w:p>
      <w:pPr>
        <w:pStyle w:val="3"/>
        <w:spacing w:before="0" w:after="0" w:line="360" w:lineRule="auto"/>
        <w:rPr>
          <w:rFonts w:ascii="仿宋" w:hAnsi="仿宋" w:eastAsia="仿宋" w:cs="仿宋"/>
          <w:sz w:val="21"/>
          <w:szCs w:val="21"/>
        </w:rPr>
      </w:pPr>
      <w:bookmarkStart w:id="13" w:name="_Toc380479091"/>
      <w:r>
        <w:rPr>
          <w:rFonts w:hint="eastAsia" w:ascii="仿宋" w:hAnsi="仿宋" w:eastAsia="仿宋" w:cs="仿宋"/>
          <w:sz w:val="21"/>
          <w:szCs w:val="21"/>
        </w:rPr>
        <w:t>二  谈判文件</w:t>
      </w:r>
      <w:bookmarkEnd w:id="13"/>
    </w:p>
    <w:p>
      <w:pPr>
        <w:pStyle w:val="3"/>
        <w:spacing w:before="0" w:after="0" w:line="360" w:lineRule="auto"/>
        <w:jc w:val="left"/>
        <w:rPr>
          <w:rFonts w:ascii="仿宋" w:hAnsi="仿宋" w:eastAsia="仿宋" w:cs="仿宋"/>
          <w:sz w:val="21"/>
          <w:szCs w:val="21"/>
        </w:rPr>
      </w:pPr>
      <w:bookmarkStart w:id="14" w:name="_Toc380479092"/>
      <w:r>
        <w:rPr>
          <w:rFonts w:hint="eastAsia" w:ascii="仿宋" w:hAnsi="仿宋" w:eastAsia="仿宋" w:cs="仿宋"/>
          <w:sz w:val="21"/>
          <w:szCs w:val="21"/>
        </w:rPr>
        <w:t>4．谈判文件构成</w:t>
      </w:r>
      <w:bookmarkEnd w:id="14"/>
    </w:p>
    <w:p>
      <w:pPr>
        <w:spacing w:line="360" w:lineRule="auto"/>
        <w:rPr>
          <w:rFonts w:ascii="仿宋" w:hAnsi="仿宋" w:eastAsia="仿宋" w:cs="仿宋"/>
          <w:b/>
          <w:szCs w:val="21"/>
        </w:rPr>
      </w:pPr>
      <w:r>
        <w:rPr>
          <w:rFonts w:hint="eastAsia" w:ascii="仿宋" w:hAnsi="仿宋" w:eastAsia="仿宋" w:cs="仿宋"/>
          <w:bCs/>
          <w:szCs w:val="21"/>
        </w:rPr>
        <w:t xml:space="preserve">4.1 </w:t>
      </w:r>
      <w:r>
        <w:rPr>
          <w:rFonts w:hint="eastAsia" w:ascii="仿宋" w:hAnsi="仿宋" w:eastAsia="仿宋" w:cs="仿宋"/>
          <w:szCs w:val="21"/>
        </w:rPr>
        <w:t>谈判文件包括：采购邀请（含采购公告）、谈判供应商须知、采购需求、附件。</w:t>
      </w:r>
    </w:p>
    <w:p>
      <w:pPr>
        <w:spacing w:line="360" w:lineRule="auto"/>
        <w:rPr>
          <w:rFonts w:ascii="仿宋" w:hAnsi="仿宋" w:eastAsia="仿宋" w:cs="仿宋"/>
          <w:b/>
          <w:szCs w:val="21"/>
        </w:rPr>
      </w:pPr>
      <w:r>
        <w:rPr>
          <w:rFonts w:hint="eastAsia" w:ascii="仿宋" w:hAnsi="仿宋" w:eastAsia="仿宋" w:cs="仿宋"/>
          <w:bCs/>
          <w:szCs w:val="21"/>
        </w:rPr>
        <w:t xml:space="preserve">4.2 </w:t>
      </w:r>
      <w:r>
        <w:rPr>
          <w:rFonts w:hint="eastAsia" w:ascii="仿宋" w:hAnsi="仿宋" w:eastAsia="仿宋" w:cs="仿宋"/>
          <w:szCs w:val="21"/>
        </w:rPr>
        <w:t>谈判供应商应认真阅读谈判文件中各有关事项、格式、条款和规范等，按要求编制响应文件，并对其提交的响应文件的真实性、合法性承担法律责任。如果谈判供应商没有按照谈判文件的要求对谈判文件做出实质性响应，该响应文件将有可能被拒绝。</w:t>
      </w:r>
    </w:p>
    <w:p>
      <w:pPr>
        <w:pStyle w:val="3"/>
        <w:spacing w:before="0" w:after="0" w:line="360" w:lineRule="auto"/>
        <w:jc w:val="left"/>
        <w:rPr>
          <w:rFonts w:ascii="仿宋" w:hAnsi="仿宋" w:eastAsia="仿宋" w:cs="仿宋"/>
          <w:sz w:val="21"/>
          <w:szCs w:val="21"/>
        </w:rPr>
      </w:pPr>
      <w:bookmarkStart w:id="15" w:name="_Toc380479093"/>
      <w:r>
        <w:rPr>
          <w:rFonts w:hint="eastAsia" w:ascii="仿宋" w:hAnsi="仿宋" w:eastAsia="仿宋" w:cs="仿宋"/>
          <w:sz w:val="21"/>
          <w:szCs w:val="21"/>
        </w:rPr>
        <w:t>5．谈判文件的澄清或者修改</w:t>
      </w:r>
      <w:bookmarkEnd w:id="15"/>
    </w:p>
    <w:p>
      <w:pPr>
        <w:spacing w:line="360" w:lineRule="auto"/>
        <w:rPr>
          <w:rFonts w:ascii="仿宋" w:hAnsi="仿宋" w:eastAsia="仿宋" w:cs="仿宋"/>
          <w:b/>
          <w:szCs w:val="21"/>
        </w:rPr>
      </w:pPr>
      <w:r>
        <w:rPr>
          <w:rFonts w:hint="eastAsia" w:ascii="仿宋" w:hAnsi="仿宋" w:eastAsia="仿宋" w:cs="仿宋"/>
          <w:szCs w:val="21"/>
        </w:rPr>
        <w:t>5.1 在首次提交响应文件截止时间前，</w:t>
      </w:r>
      <w:r>
        <w:rPr>
          <w:rFonts w:hint="eastAsia" w:ascii="仿宋" w:hAnsi="仿宋" w:eastAsia="仿宋" w:cs="仿宋"/>
          <w:kern w:val="0"/>
          <w:szCs w:val="21"/>
        </w:rPr>
        <w:t>采购人、招标方或者谈判小组可以对已发出的谈判文件进行必要的澄清或者修改，并由招标方发出。澄清或者修改的内容作为谈判文件的组成部分。</w:t>
      </w:r>
      <w:r>
        <w:rPr>
          <w:rFonts w:hint="eastAsia" w:ascii="仿宋" w:hAnsi="仿宋" w:eastAsia="仿宋" w:cs="仿宋"/>
          <w:szCs w:val="21"/>
        </w:rPr>
        <w:t>对谈判文件的修改，将以书面形式通知已获取谈判文件的每一谈判供应商。</w:t>
      </w:r>
    </w:p>
    <w:p>
      <w:pPr>
        <w:spacing w:line="360" w:lineRule="auto"/>
        <w:rPr>
          <w:rFonts w:ascii="仿宋" w:hAnsi="仿宋" w:eastAsia="仿宋" w:cs="仿宋"/>
          <w:szCs w:val="21"/>
        </w:rPr>
      </w:pPr>
      <w:r>
        <w:rPr>
          <w:rFonts w:hint="eastAsia" w:ascii="仿宋" w:hAnsi="仿宋" w:eastAsia="仿宋" w:cs="仿宋"/>
          <w:szCs w:val="21"/>
        </w:rPr>
        <w:t>5.2 澄清或者修改的内容可能影响响应文件编制的，招标方将在提交首次响应文件截止之日3个工作日前通知，不足3个工作日的，将相应顺延提交首次响应文件截止时间。</w:t>
      </w:r>
    </w:p>
    <w:p>
      <w:pPr>
        <w:spacing w:line="360" w:lineRule="auto"/>
        <w:rPr>
          <w:rFonts w:ascii="仿宋" w:hAnsi="仿宋" w:eastAsia="仿宋" w:cs="仿宋"/>
          <w:szCs w:val="21"/>
        </w:rPr>
      </w:pPr>
      <w:r>
        <w:rPr>
          <w:rFonts w:hint="eastAsia" w:ascii="仿宋" w:hAnsi="仿宋" w:eastAsia="仿宋" w:cs="仿宋"/>
          <w:szCs w:val="21"/>
        </w:rPr>
        <w:t>5.3 在谈判过程中，谈判小组根据与供应商谈判情况，可能对采购需求中的技术、服务要求以及合同草案条款等内容作出实质性变动。对谈判文件作出的实质性变动是谈判文件的有效组成部分，谈判小组将以书面形式同时通知所有参加谈判的供应商。供应商应当按照谈判文件的变动情况和谈判小组的要求重新提交响应文件。</w:t>
      </w:r>
    </w:p>
    <w:p>
      <w:pPr>
        <w:spacing w:line="360" w:lineRule="auto"/>
        <w:ind w:firstLine="420" w:firstLineChars="200"/>
        <w:rPr>
          <w:rFonts w:ascii="仿宋" w:hAnsi="仿宋" w:eastAsia="仿宋" w:cs="仿宋"/>
          <w:b/>
          <w:szCs w:val="21"/>
        </w:rPr>
      </w:pPr>
    </w:p>
    <w:p>
      <w:pPr>
        <w:pStyle w:val="3"/>
        <w:spacing w:before="0" w:after="0" w:line="360" w:lineRule="auto"/>
        <w:rPr>
          <w:rFonts w:ascii="仿宋" w:hAnsi="仿宋" w:eastAsia="仿宋" w:cs="仿宋"/>
          <w:sz w:val="21"/>
          <w:szCs w:val="21"/>
        </w:rPr>
      </w:pPr>
      <w:bookmarkStart w:id="16" w:name="_Toc380479094"/>
      <w:r>
        <w:rPr>
          <w:rFonts w:hint="eastAsia" w:ascii="仿宋" w:hAnsi="仿宋" w:eastAsia="仿宋" w:cs="仿宋"/>
          <w:sz w:val="21"/>
          <w:szCs w:val="21"/>
        </w:rPr>
        <w:t>三  响应文件的编制</w:t>
      </w:r>
      <w:bookmarkEnd w:id="16"/>
    </w:p>
    <w:p>
      <w:pPr>
        <w:pStyle w:val="3"/>
        <w:spacing w:before="0" w:after="0" w:line="360" w:lineRule="auto"/>
        <w:jc w:val="left"/>
        <w:rPr>
          <w:rFonts w:ascii="仿宋" w:hAnsi="仿宋" w:eastAsia="仿宋" w:cs="仿宋"/>
          <w:sz w:val="21"/>
          <w:szCs w:val="21"/>
        </w:rPr>
      </w:pPr>
      <w:bookmarkStart w:id="17" w:name="_Toc380479095"/>
      <w:r>
        <w:rPr>
          <w:rFonts w:hint="eastAsia" w:ascii="仿宋" w:hAnsi="仿宋" w:eastAsia="仿宋" w:cs="仿宋"/>
          <w:sz w:val="21"/>
          <w:szCs w:val="21"/>
        </w:rPr>
        <w:t>6．响应文件的构成</w:t>
      </w:r>
      <w:bookmarkEnd w:id="17"/>
    </w:p>
    <w:p>
      <w:pPr>
        <w:pStyle w:val="17"/>
        <w:spacing w:line="360" w:lineRule="auto"/>
        <w:rPr>
          <w:rFonts w:ascii="仿宋" w:hAnsi="仿宋" w:eastAsia="仿宋" w:cs="仿宋"/>
          <w:sz w:val="21"/>
          <w:szCs w:val="21"/>
        </w:rPr>
      </w:pPr>
      <w:r>
        <w:rPr>
          <w:rFonts w:hint="eastAsia" w:ascii="仿宋" w:hAnsi="仿宋" w:eastAsia="仿宋" w:cs="仿宋"/>
          <w:sz w:val="21"/>
          <w:szCs w:val="21"/>
        </w:rPr>
        <w:t>6.1 按照谈判文件的要求，谈判供应商首次编制的响应文件具体构成如下：</w:t>
      </w:r>
    </w:p>
    <w:p>
      <w:pPr>
        <w:spacing w:line="360" w:lineRule="auto"/>
        <w:rPr>
          <w:rFonts w:ascii="仿宋" w:hAnsi="仿宋" w:eastAsia="仿宋" w:cs="仿宋"/>
          <w:szCs w:val="21"/>
        </w:rPr>
      </w:pPr>
      <w:r>
        <w:rPr>
          <w:rFonts w:hint="eastAsia" w:ascii="仿宋" w:hAnsi="仿宋" w:eastAsia="仿宋" w:cs="仿宋"/>
          <w:szCs w:val="21"/>
        </w:rPr>
        <w:t>（1）报价函；</w:t>
      </w:r>
    </w:p>
    <w:p>
      <w:pPr>
        <w:spacing w:line="360" w:lineRule="auto"/>
        <w:rPr>
          <w:rFonts w:ascii="仿宋" w:hAnsi="仿宋" w:eastAsia="仿宋" w:cs="仿宋"/>
          <w:szCs w:val="21"/>
        </w:rPr>
      </w:pPr>
      <w:r>
        <w:rPr>
          <w:rFonts w:hint="eastAsia" w:ascii="仿宋" w:hAnsi="仿宋" w:eastAsia="仿宋" w:cs="仿宋"/>
          <w:szCs w:val="21"/>
        </w:rPr>
        <w:t>（2）参考报价表；</w:t>
      </w:r>
    </w:p>
    <w:p>
      <w:pPr>
        <w:spacing w:line="360" w:lineRule="auto"/>
        <w:rPr>
          <w:rFonts w:ascii="仿宋" w:hAnsi="仿宋" w:eastAsia="仿宋" w:cs="仿宋"/>
          <w:szCs w:val="21"/>
        </w:rPr>
      </w:pPr>
      <w:r>
        <w:rPr>
          <w:rFonts w:hint="eastAsia" w:ascii="仿宋" w:hAnsi="仿宋" w:eastAsia="仿宋" w:cs="仿宋"/>
          <w:szCs w:val="21"/>
        </w:rPr>
        <w:t>（3）采购需求响应方案：见</w:t>
      </w:r>
      <w:r>
        <w:rPr>
          <w:rFonts w:hint="eastAsia" w:ascii="仿宋" w:hAnsi="仿宋" w:eastAsia="仿宋" w:cs="仿宋"/>
          <w:szCs w:val="21"/>
          <w:u w:val="single"/>
        </w:rPr>
        <w:t>前附表</w:t>
      </w:r>
      <w:r>
        <w:rPr>
          <w:rFonts w:hint="eastAsia" w:ascii="仿宋" w:hAnsi="仿宋" w:eastAsia="仿宋" w:cs="仿宋"/>
          <w:szCs w:val="21"/>
        </w:rPr>
        <w:t>要求；</w:t>
      </w:r>
    </w:p>
    <w:p>
      <w:pPr>
        <w:spacing w:line="360" w:lineRule="auto"/>
        <w:rPr>
          <w:rFonts w:ascii="仿宋" w:hAnsi="仿宋" w:eastAsia="仿宋" w:cs="仿宋"/>
          <w:szCs w:val="21"/>
        </w:rPr>
      </w:pPr>
      <w:r>
        <w:rPr>
          <w:rFonts w:hint="eastAsia" w:ascii="仿宋" w:hAnsi="仿宋" w:eastAsia="仿宋" w:cs="仿宋"/>
          <w:szCs w:val="21"/>
        </w:rPr>
        <w:t>（4）合同条款应答表；</w:t>
      </w:r>
    </w:p>
    <w:p>
      <w:pPr>
        <w:spacing w:line="360" w:lineRule="auto"/>
        <w:rPr>
          <w:rFonts w:ascii="仿宋" w:hAnsi="仿宋" w:eastAsia="仿宋" w:cs="仿宋"/>
          <w:kern w:val="0"/>
          <w:szCs w:val="21"/>
        </w:rPr>
      </w:pPr>
      <w:r>
        <w:rPr>
          <w:rFonts w:hint="eastAsia" w:ascii="仿宋" w:hAnsi="仿宋" w:eastAsia="仿宋" w:cs="仿宋"/>
          <w:szCs w:val="21"/>
        </w:rPr>
        <w:t>（5）资格证明文件：见</w:t>
      </w:r>
      <w:r>
        <w:rPr>
          <w:rFonts w:hint="eastAsia" w:ascii="仿宋" w:hAnsi="仿宋" w:eastAsia="仿宋" w:cs="仿宋"/>
          <w:kern w:val="0"/>
          <w:szCs w:val="21"/>
          <w:u w:val="single"/>
        </w:rPr>
        <w:t>前附表</w:t>
      </w:r>
      <w:r>
        <w:rPr>
          <w:rFonts w:hint="eastAsia" w:ascii="仿宋" w:hAnsi="仿宋" w:eastAsia="仿宋" w:cs="仿宋"/>
          <w:kern w:val="0"/>
          <w:szCs w:val="21"/>
        </w:rPr>
        <w:t>要求；</w:t>
      </w:r>
    </w:p>
    <w:p>
      <w:pPr>
        <w:spacing w:line="360" w:lineRule="auto"/>
        <w:rPr>
          <w:rFonts w:ascii="仿宋" w:hAnsi="仿宋" w:eastAsia="仿宋" w:cs="仿宋"/>
          <w:szCs w:val="21"/>
        </w:rPr>
      </w:pPr>
      <w:r>
        <w:rPr>
          <w:rFonts w:hint="eastAsia" w:ascii="仿宋" w:hAnsi="仿宋" w:eastAsia="仿宋" w:cs="仿宋"/>
          <w:szCs w:val="21"/>
        </w:rPr>
        <w:t>（6）</w:t>
      </w:r>
      <w:r>
        <w:rPr>
          <w:rFonts w:hint="eastAsia" w:ascii="仿宋" w:hAnsi="仿宋" w:eastAsia="仿宋" w:cs="仿宋"/>
          <w:szCs w:val="21"/>
          <w:u w:val="single"/>
        </w:rPr>
        <w:t>前附表</w:t>
      </w:r>
      <w:r>
        <w:rPr>
          <w:rFonts w:hint="eastAsia" w:ascii="仿宋" w:hAnsi="仿宋" w:eastAsia="仿宋" w:cs="仿宋"/>
          <w:szCs w:val="21"/>
        </w:rPr>
        <w:t>要求的其他内容。</w:t>
      </w:r>
    </w:p>
    <w:p>
      <w:pPr>
        <w:spacing w:line="360" w:lineRule="auto"/>
        <w:ind w:firstLine="570"/>
        <w:rPr>
          <w:rFonts w:ascii="仿宋" w:hAnsi="仿宋" w:eastAsia="仿宋" w:cs="仿宋"/>
          <w:b/>
          <w:szCs w:val="21"/>
        </w:rPr>
      </w:pPr>
      <w:r>
        <w:rPr>
          <w:rFonts w:hint="eastAsia" w:ascii="仿宋" w:hAnsi="仿宋" w:eastAsia="仿宋" w:cs="仿宋"/>
          <w:b/>
          <w:szCs w:val="21"/>
        </w:rPr>
        <w:t xml:space="preserve">以上内容均为实质性要求，谈判供应商未按上述要求编写响应文件而造成内容不完整的，视为没有对谈判文件作出实质性响应，其响应文件按无效处理。 </w:t>
      </w:r>
    </w:p>
    <w:p>
      <w:pPr>
        <w:pStyle w:val="3"/>
        <w:spacing w:before="0" w:after="0" w:line="360" w:lineRule="auto"/>
        <w:jc w:val="left"/>
        <w:rPr>
          <w:rFonts w:ascii="仿宋" w:hAnsi="仿宋" w:eastAsia="仿宋" w:cs="仿宋"/>
          <w:sz w:val="21"/>
          <w:szCs w:val="21"/>
        </w:rPr>
      </w:pPr>
      <w:bookmarkStart w:id="18" w:name="_Toc380479096"/>
      <w:r>
        <w:rPr>
          <w:rFonts w:hint="eastAsia" w:ascii="仿宋" w:hAnsi="仿宋" w:eastAsia="仿宋" w:cs="仿宋"/>
          <w:sz w:val="21"/>
          <w:szCs w:val="21"/>
        </w:rPr>
        <w:t>7．报价</w:t>
      </w:r>
      <w:bookmarkEnd w:id="18"/>
    </w:p>
    <w:p>
      <w:pPr>
        <w:spacing w:line="360" w:lineRule="auto"/>
        <w:rPr>
          <w:rFonts w:ascii="仿宋" w:hAnsi="仿宋" w:eastAsia="仿宋" w:cs="仿宋"/>
          <w:szCs w:val="21"/>
        </w:rPr>
      </w:pPr>
      <w:r>
        <w:rPr>
          <w:rFonts w:hint="eastAsia" w:ascii="仿宋" w:hAnsi="仿宋" w:eastAsia="仿宋" w:cs="仿宋"/>
          <w:szCs w:val="21"/>
        </w:rPr>
        <w:t>7.1 在提交响应文件时，供应商要按照谈判文件给出的格式提供报价函和参考报价表；在谈判结束后，供应商按照谈判小组的要求及谈判文件给出的格式提供最后报价表。报价货币应为人民币。</w:t>
      </w:r>
    </w:p>
    <w:p>
      <w:pPr>
        <w:spacing w:line="360" w:lineRule="auto"/>
        <w:rPr>
          <w:rFonts w:ascii="仿宋" w:hAnsi="仿宋" w:eastAsia="仿宋" w:cs="仿宋"/>
          <w:szCs w:val="21"/>
        </w:rPr>
      </w:pPr>
      <w:r>
        <w:rPr>
          <w:rFonts w:hint="eastAsia" w:ascii="仿宋" w:hAnsi="仿宋" w:eastAsia="仿宋" w:cs="仿宋"/>
          <w:szCs w:val="21"/>
        </w:rPr>
        <w:t>7.2 每项服务内容只能有一个报价，不接受具有附加条件的报价，否则其响应文件将作为无效处理。</w:t>
      </w:r>
    </w:p>
    <w:p>
      <w:pPr>
        <w:pStyle w:val="3"/>
        <w:spacing w:before="0" w:after="0" w:line="360" w:lineRule="auto"/>
        <w:jc w:val="left"/>
        <w:rPr>
          <w:rFonts w:ascii="仿宋" w:hAnsi="仿宋" w:eastAsia="仿宋" w:cs="仿宋"/>
          <w:sz w:val="21"/>
          <w:szCs w:val="21"/>
        </w:rPr>
      </w:pPr>
      <w:bookmarkStart w:id="19" w:name="_Toc380479097"/>
      <w:r>
        <w:rPr>
          <w:rFonts w:hint="eastAsia" w:ascii="仿宋" w:hAnsi="仿宋" w:eastAsia="仿宋" w:cs="仿宋"/>
          <w:sz w:val="21"/>
          <w:szCs w:val="21"/>
        </w:rPr>
        <w:t>8. 响应文件有效期</w:t>
      </w:r>
      <w:bookmarkEnd w:id="19"/>
    </w:p>
    <w:p>
      <w:pPr>
        <w:spacing w:line="360" w:lineRule="auto"/>
        <w:rPr>
          <w:rFonts w:ascii="仿宋" w:hAnsi="仿宋" w:eastAsia="仿宋" w:cs="仿宋"/>
          <w:szCs w:val="21"/>
        </w:rPr>
      </w:pPr>
      <w:r>
        <w:rPr>
          <w:rFonts w:hint="eastAsia" w:ascii="仿宋" w:hAnsi="仿宋" w:eastAsia="仿宋" w:cs="仿宋"/>
          <w:szCs w:val="21"/>
        </w:rPr>
        <w:t>8.1 响应文件应自首次提交之日起，按照</w:t>
      </w:r>
      <w:r>
        <w:rPr>
          <w:rFonts w:hint="eastAsia" w:ascii="仿宋" w:hAnsi="仿宋" w:eastAsia="仿宋" w:cs="仿宋"/>
          <w:szCs w:val="21"/>
          <w:u w:val="single"/>
        </w:rPr>
        <w:t>前附表</w:t>
      </w:r>
      <w:r>
        <w:rPr>
          <w:rFonts w:hint="eastAsia" w:ascii="仿宋" w:hAnsi="仿宋" w:eastAsia="仿宋" w:cs="仿宋"/>
          <w:szCs w:val="21"/>
        </w:rPr>
        <w:t>中规定时间内保持有效，有效期短于要求的响应文件将按无效处理。</w:t>
      </w:r>
    </w:p>
    <w:p>
      <w:pPr>
        <w:spacing w:line="360" w:lineRule="auto"/>
        <w:rPr>
          <w:rFonts w:ascii="仿宋" w:hAnsi="仿宋" w:eastAsia="仿宋" w:cs="仿宋"/>
          <w:szCs w:val="21"/>
        </w:rPr>
      </w:pPr>
    </w:p>
    <w:p>
      <w:pPr>
        <w:pStyle w:val="3"/>
        <w:spacing w:before="0" w:after="0" w:line="360" w:lineRule="auto"/>
        <w:rPr>
          <w:rFonts w:ascii="仿宋" w:hAnsi="仿宋" w:eastAsia="仿宋" w:cs="仿宋"/>
          <w:b w:val="0"/>
          <w:sz w:val="21"/>
          <w:szCs w:val="21"/>
        </w:rPr>
      </w:pPr>
      <w:bookmarkStart w:id="20" w:name="_Toc380479098"/>
      <w:r>
        <w:rPr>
          <w:rFonts w:hint="eastAsia" w:ascii="仿宋" w:hAnsi="仿宋" w:eastAsia="仿宋" w:cs="仿宋"/>
          <w:sz w:val="21"/>
          <w:szCs w:val="21"/>
        </w:rPr>
        <w:t>四  响应文件的签署规定和递交</w:t>
      </w:r>
      <w:bookmarkEnd w:id="20"/>
    </w:p>
    <w:p>
      <w:pPr>
        <w:pStyle w:val="3"/>
        <w:spacing w:before="0" w:after="0" w:line="360" w:lineRule="auto"/>
        <w:jc w:val="left"/>
        <w:rPr>
          <w:rFonts w:ascii="仿宋" w:hAnsi="仿宋" w:eastAsia="仿宋" w:cs="仿宋"/>
          <w:sz w:val="21"/>
          <w:szCs w:val="21"/>
        </w:rPr>
      </w:pPr>
      <w:bookmarkStart w:id="21" w:name="_Toc380479099"/>
      <w:r>
        <w:rPr>
          <w:rFonts w:hint="eastAsia" w:ascii="仿宋" w:hAnsi="仿宋" w:eastAsia="仿宋" w:cs="仿宋"/>
          <w:sz w:val="21"/>
          <w:szCs w:val="21"/>
        </w:rPr>
        <w:t>9．响应文件签署及规定</w:t>
      </w:r>
      <w:bookmarkEnd w:id="21"/>
    </w:p>
    <w:p>
      <w:pPr>
        <w:tabs>
          <w:tab w:val="left" w:pos="995"/>
        </w:tabs>
        <w:spacing w:line="360" w:lineRule="auto"/>
        <w:rPr>
          <w:rFonts w:ascii="仿宋" w:hAnsi="仿宋" w:eastAsia="仿宋" w:cs="仿宋"/>
          <w:szCs w:val="21"/>
        </w:rPr>
      </w:pPr>
      <w:r>
        <w:rPr>
          <w:rFonts w:hint="eastAsia" w:ascii="仿宋" w:hAnsi="仿宋" w:eastAsia="仿宋" w:cs="仿宋"/>
          <w:szCs w:val="21"/>
        </w:rPr>
        <w:t>9.1 谈判供应商应按</w:t>
      </w:r>
      <w:r>
        <w:rPr>
          <w:rFonts w:hint="eastAsia" w:ascii="仿宋" w:hAnsi="仿宋" w:eastAsia="仿宋" w:cs="仿宋"/>
          <w:szCs w:val="21"/>
          <w:u w:val="single"/>
        </w:rPr>
        <w:t>前附表</w:t>
      </w:r>
      <w:r>
        <w:rPr>
          <w:rFonts w:hint="eastAsia" w:ascii="仿宋" w:hAnsi="仿宋" w:eastAsia="仿宋" w:cs="仿宋"/>
          <w:szCs w:val="21"/>
        </w:rPr>
        <w:t>中的规定准备和递交响应文件正本、副本和电子文档，纸质响应文件封面应注明“正本”或“副本”字样，副本可以是正本的复印件，当正本和副本之间出现差异时，以正本为准。响应文件要求胶装成册，不对活页装订。</w:t>
      </w:r>
    </w:p>
    <w:p>
      <w:pPr>
        <w:tabs>
          <w:tab w:val="left" w:pos="995"/>
        </w:tabs>
        <w:spacing w:line="360" w:lineRule="auto"/>
        <w:rPr>
          <w:rFonts w:ascii="仿宋" w:hAnsi="仿宋" w:eastAsia="仿宋" w:cs="仿宋"/>
          <w:szCs w:val="21"/>
        </w:rPr>
      </w:pPr>
      <w:r>
        <w:rPr>
          <w:rFonts w:hint="eastAsia" w:ascii="仿宋" w:hAnsi="仿宋" w:eastAsia="仿宋" w:cs="仿宋"/>
          <w:szCs w:val="21"/>
        </w:rPr>
        <w:t>9.2 响应文件的正本需打印或用不褪色墨水书写，并由谈判供应商的法定代表人或经其正式授权的代表按谈判文件规定签字或者加盖公章。由授权代表签字的，应附法定代表人授权书。供应商为自然人的，应当由本人签字并附身份证明。</w:t>
      </w:r>
    </w:p>
    <w:p>
      <w:pPr>
        <w:tabs>
          <w:tab w:val="left" w:pos="995"/>
        </w:tabs>
        <w:spacing w:line="360" w:lineRule="auto"/>
        <w:rPr>
          <w:rFonts w:ascii="仿宋" w:hAnsi="仿宋" w:eastAsia="仿宋" w:cs="仿宋"/>
          <w:szCs w:val="21"/>
        </w:rPr>
      </w:pPr>
      <w:r>
        <w:rPr>
          <w:rFonts w:hint="eastAsia" w:ascii="仿宋" w:hAnsi="仿宋" w:eastAsia="仿宋" w:cs="仿宋"/>
          <w:szCs w:val="21"/>
        </w:rPr>
        <w:t>9.3 供应商在提交响应文件截止时间前，可以对所提交的响应文件进行补充、修改或者撤回，并书面通知招标方。补充、修改的内容作为响应文件的组成部分。补充、修改的内容与响应文件不一致的，以补充、修改的内容为准。</w:t>
      </w:r>
    </w:p>
    <w:p>
      <w:pPr>
        <w:tabs>
          <w:tab w:val="left" w:pos="995"/>
        </w:tabs>
        <w:spacing w:line="360" w:lineRule="auto"/>
        <w:rPr>
          <w:rFonts w:ascii="仿宋" w:hAnsi="仿宋" w:eastAsia="仿宋" w:cs="仿宋"/>
          <w:szCs w:val="21"/>
        </w:rPr>
      </w:pPr>
      <w:r>
        <w:rPr>
          <w:rFonts w:hint="eastAsia" w:ascii="仿宋" w:hAnsi="仿宋" w:eastAsia="仿宋" w:cs="仿宋"/>
          <w:szCs w:val="21"/>
        </w:rPr>
        <w:t>9.4 供应商根据谈判小组的要求对响应文件中含义不明确、同类问题表述不一致或者有明显文字和计算错误的内容等做出的澄清、说明或者更正，以及谈判中根据谈判文件实质性变动重新提交的响应文件，其签署规定同9.2款要求。</w:t>
      </w:r>
    </w:p>
    <w:p>
      <w:pPr>
        <w:pStyle w:val="3"/>
        <w:spacing w:before="0" w:after="0" w:line="360" w:lineRule="auto"/>
        <w:jc w:val="left"/>
        <w:rPr>
          <w:rFonts w:ascii="仿宋" w:hAnsi="仿宋" w:eastAsia="仿宋" w:cs="仿宋"/>
          <w:sz w:val="21"/>
          <w:szCs w:val="21"/>
        </w:rPr>
      </w:pPr>
      <w:bookmarkStart w:id="22" w:name="_Toc380479100"/>
      <w:r>
        <w:rPr>
          <w:rFonts w:hint="eastAsia" w:ascii="仿宋" w:hAnsi="仿宋" w:eastAsia="仿宋" w:cs="仿宋"/>
          <w:sz w:val="21"/>
          <w:szCs w:val="21"/>
        </w:rPr>
        <w:t>10．响应文件的递交</w:t>
      </w:r>
      <w:bookmarkEnd w:id="22"/>
    </w:p>
    <w:p>
      <w:pPr>
        <w:spacing w:line="360" w:lineRule="auto"/>
        <w:rPr>
          <w:rFonts w:ascii="仿宋" w:hAnsi="仿宋" w:eastAsia="仿宋" w:cs="仿宋"/>
          <w:kern w:val="0"/>
          <w:szCs w:val="21"/>
        </w:rPr>
      </w:pPr>
      <w:r>
        <w:rPr>
          <w:rFonts w:hint="eastAsia" w:ascii="仿宋" w:hAnsi="仿宋" w:eastAsia="仿宋" w:cs="仿宋"/>
          <w:szCs w:val="21"/>
        </w:rPr>
        <w:t>10.1 响应文件及电子版应密封递交，封套上注明谈判供应商名称、项目编号及项目名称。首次提交的响应文件必须</w:t>
      </w:r>
      <w:r>
        <w:rPr>
          <w:rFonts w:hint="eastAsia" w:ascii="仿宋" w:hAnsi="仿宋" w:eastAsia="仿宋" w:cs="仿宋"/>
          <w:kern w:val="0"/>
          <w:szCs w:val="21"/>
        </w:rPr>
        <w:t>在第一章规定的截止时间前密封送达到指定地点。在截止时间后送达的响应文件为无效文件，招标方将拒收。</w:t>
      </w:r>
    </w:p>
    <w:p>
      <w:pPr>
        <w:spacing w:line="360" w:lineRule="auto"/>
        <w:ind w:firstLine="570"/>
        <w:rPr>
          <w:rFonts w:ascii="仿宋" w:hAnsi="仿宋" w:eastAsia="仿宋" w:cs="仿宋"/>
          <w:kern w:val="0"/>
          <w:szCs w:val="21"/>
        </w:rPr>
      </w:pPr>
    </w:p>
    <w:p>
      <w:pPr>
        <w:spacing w:line="360" w:lineRule="auto"/>
        <w:ind w:firstLine="570"/>
        <w:rPr>
          <w:rFonts w:ascii="仿宋" w:hAnsi="仿宋" w:eastAsia="仿宋" w:cs="仿宋"/>
          <w:b/>
          <w:szCs w:val="21"/>
        </w:rPr>
      </w:pPr>
    </w:p>
    <w:p>
      <w:pPr>
        <w:pStyle w:val="3"/>
        <w:spacing w:before="0" w:after="0" w:line="360" w:lineRule="auto"/>
        <w:rPr>
          <w:rFonts w:ascii="仿宋" w:hAnsi="仿宋" w:eastAsia="仿宋" w:cs="仿宋"/>
          <w:b w:val="0"/>
          <w:sz w:val="21"/>
          <w:szCs w:val="21"/>
        </w:rPr>
      </w:pPr>
      <w:bookmarkStart w:id="23" w:name="_Toc380479105"/>
      <w:r>
        <w:rPr>
          <w:rFonts w:hint="eastAsia" w:ascii="仿宋" w:hAnsi="仿宋" w:eastAsia="仿宋" w:cs="仿宋"/>
          <w:sz w:val="21"/>
          <w:szCs w:val="21"/>
        </w:rPr>
        <w:t>五  评审和谈判</w:t>
      </w:r>
      <w:bookmarkEnd w:id="23"/>
    </w:p>
    <w:p>
      <w:pPr>
        <w:pStyle w:val="3"/>
        <w:spacing w:before="0" w:after="0" w:line="360" w:lineRule="auto"/>
        <w:jc w:val="left"/>
        <w:rPr>
          <w:rFonts w:ascii="仿宋" w:hAnsi="仿宋" w:eastAsia="仿宋" w:cs="仿宋"/>
          <w:sz w:val="21"/>
          <w:szCs w:val="21"/>
        </w:rPr>
      </w:pPr>
      <w:bookmarkStart w:id="24" w:name="_Toc380479106"/>
      <w:r>
        <w:rPr>
          <w:rFonts w:hint="eastAsia" w:ascii="仿宋" w:hAnsi="仿宋" w:eastAsia="仿宋" w:cs="仿宋"/>
          <w:sz w:val="21"/>
          <w:szCs w:val="21"/>
        </w:rPr>
        <w:t>11．响应文件的评审与澄清</w:t>
      </w:r>
      <w:bookmarkEnd w:id="24"/>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11.1谈判小组在确认了谈判文件后，按照谈判文件规定的资格条件对供应商进行资格审查，符合资格条件的供应商将被认定为参加谈判的供应商。</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11.2谈判小组按照谈判文件规定的除资格条件外的其它实质性条款，对参加谈判的供应商进行有效性、完整性和响应程度的审查。未实质性响应谈判文件的供应商将按无效处理，不参加后续谈判。</w:t>
      </w:r>
    </w:p>
    <w:p>
      <w:pPr>
        <w:spacing w:line="360" w:lineRule="auto"/>
        <w:rPr>
          <w:rFonts w:ascii="仿宋" w:hAnsi="仿宋" w:eastAsia="仿宋" w:cs="仿宋"/>
          <w:szCs w:val="21"/>
        </w:rPr>
      </w:pPr>
      <w:r>
        <w:rPr>
          <w:rFonts w:hint="eastAsia" w:ascii="仿宋" w:hAnsi="仿宋" w:eastAsia="仿宋" w:cs="仿宋"/>
          <w:szCs w:val="21"/>
        </w:rPr>
        <w:t>11.3 出现下列情形之一的，将被认定为未实质性响应谈判文件：</w:t>
      </w:r>
    </w:p>
    <w:p>
      <w:pPr>
        <w:spacing w:line="360" w:lineRule="auto"/>
        <w:rPr>
          <w:rFonts w:ascii="仿宋" w:hAnsi="仿宋" w:eastAsia="仿宋" w:cs="仿宋"/>
          <w:szCs w:val="21"/>
        </w:rPr>
      </w:pPr>
      <w:r>
        <w:rPr>
          <w:rFonts w:hint="eastAsia" w:ascii="仿宋" w:hAnsi="仿宋" w:eastAsia="仿宋" w:cs="仿宋"/>
          <w:szCs w:val="21"/>
        </w:rPr>
        <w:t>（1）未按要求交纳保证金的；</w:t>
      </w:r>
    </w:p>
    <w:p>
      <w:pPr>
        <w:spacing w:line="360" w:lineRule="auto"/>
        <w:rPr>
          <w:rFonts w:ascii="仿宋" w:hAnsi="仿宋" w:eastAsia="仿宋" w:cs="仿宋"/>
          <w:szCs w:val="21"/>
        </w:rPr>
      </w:pPr>
      <w:r>
        <w:rPr>
          <w:rFonts w:hint="eastAsia" w:ascii="仿宋" w:hAnsi="仿宋" w:eastAsia="仿宋" w:cs="仿宋"/>
          <w:szCs w:val="21"/>
        </w:rPr>
        <w:t>（2）未按照谈判文件规定要求装订、密封、签署、盖章的；</w:t>
      </w:r>
    </w:p>
    <w:p>
      <w:pPr>
        <w:spacing w:line="360" w:lineRule="auto"/>
        <w:rPr>
          <w:rFonts w:ascii="仿宋" w:hAnsi="仿宋" w:eastAsia="仿宋" w:cs="仿宋"/>
          <w:szCs w:val="21"/>
        </w:rPr>
      </w:pPr>
      <w:r>
        <w:rPr>
          <w:rFonts w:hint="eastAsia" w:ascii="仿宋" w:hAnsi="仿宋" w:eastAsia="仿宋" w:cs="仿宋"/>
          <w:szCs w:val="21"/>
        </w:rPr>
        <w:t>（3）供应商在报价时采用选择性报价；</w:t>
      </w:r>
    </w:p>
    <w:p>
      <w:pPr>
        <w:spacing w:line="360" w:lineRule="auto"/>
        <w:rPr>
          <w:rFonts w:ascii="仿宋" w:hAnsi="仿宋" w:eastAsia="仿宋" w:cs="仿宋"/>
          <w:szCs w:val="21"/>
        </w:rPr>
      </w:pPr>
      <w:r>
        <w:rPr>
          <w:rFonts w:hint="eastAsia" w:ascii="仿宋" w:hAnsi="仿宋" w:eastAsia="仿宋" w:cs="仿宋"/>
          <w:szCs w:val="21"/>
        </w:rPr>
        <w:t>（4）供应商不具备谈判文件中规定资格要求的；</w:t>
      </w:r>
    </w:p>
    <w:p>
      <w:pPr>
        <w:spacing w:line="360" w:lineRule="auto"/>
        <w:rPr>
          <w:rFonts w:ascii="仿宋" w:hAnsi="仿宋" w:eastAsia="仿宋" w:cs="仿宋"/>
          <w:szCs w:val="21"/>
        </w:rPr>
      </w:pPr>
      <w:r>
        <w:rPr>
          <w:rFonts w:hint="eastAsia" w:ascii="仿宋" w:hAnsi="仿宋" w:eastAsia="仿宋" w:cs="仿宋"/>
          <w:szCs w:val="21"/>
        </w:rPr>
        <w:t>（5）不符合法律、法规和谈判文件中规定的其他实质性要求的（本谈判文件中用*、★、※等标明为实质性要求和条件）；</w:t>
      </w:r>
    </w:p>
    <w:p>
      <w:pPr>
        <w:spacing w:line="360" w:lineRule="auto"/>
        <w:rPr>
          <w:rFonts w:ascii="仿宋" w:hAnsi="仿宋" w:eastAsia="仿宋" w:cs="仿宋"/>
          <w:szCs w:val="21"/>
        </w:rPr>
      </w:pPr>
      <w:r>
        <w:rPr>
          <w:rFonts w:hint="eastAsia" w:ascii="仿宋" w:hAnsi="仿宋" w:eastAsia="仿宋" w:cs="仿宋"/>
          <w:szCs w:val="21"/>
        </w:rPr>
        <w:t>（6）不良信用记录；</w:t>
      </w:r>
    </w:p>
    <w:p>
      <w:pPr>
        <w:spacing w:line="360" w:lineRule="auto"/>
        <w:rPr>
          <w:rFonts w:ascii="仿宋" w:hAnsi="仿宋" w:eastAsia="仿宋" w:cs="仿宋"/>
          <w:szCs w:val="21"/>
        </w:rPr>
      </w:pPr>
      <w:r>
        <w:rPr>
          <w:rFonts w:hint="eastAsia" w:ascii="仿宋" w:hAnsi="仿宋" w:eastAsia="仿宋" w:cs="仿宋"/>
          <w:szCs w:val="21"/>
        </w:rPr>
        <w:t>（7）响应文件有效期少于</w:t>
      </w:r>
      <w:r>
        <w:rPr>
          <w:rFonts w:hint="eastAsia" w:ascii="仿宋" w:hAnsi="仿宋" w:eastAsia="仿宋" w:cs="仿宋"/>
          <w:szCs w:val="21"/>
          <w:u w:val="single"/>
        </w:rPr>
        <w:t>90</w:t>
      </w:r>
      <w:r>
        <w:rPr>
          <w:rFonts w:hint="eastAsia" w:ascii="仿宋" w:hAnsi="仿宋" w:eastAsia="仿宋" w:cs="仿宋"/>
          <w:szCs w:val="21"/>
        </w:rPr>
        <w:t>日历天；</w:t>
      </w:r>
    </w:p>
    <w:p>
      <w:pPr>
        <w:spacing w:line="360" w:lineRule="auto"/>
        <w:ind w:left="105" w:hanging="105" w:hangingChars="50"/>
        <w:rPr>
          <w:rFonts w:ascii="仿宋" w:hAnsi="仿宋" w:eastAsia="仿宋" w:cs="仿宋"/>
          <w:szCs w:val="21"/>
        </w:rPr>
      </w:pPr>
      <w:r>
        <w:rPr>
          <w:rFonts w:hint="eastAsia" w:ascii="仿宋" w:hAnsi="仿宋" w:eastAsia="仿宋" w:cs="仿宋"/>
          <w:szCs w:val="21"/>
        </w:rPr>
        <w:t>（8）其他法律、法规及本谈判文件规定的属于按无效处理的响应文件的情形。</w:t>
      </w:r>
    </w:p>
    <w:p>
      <w:pPr>
        <w:spacing w:line="360" w:lineRule="auto"/>
        <w:rPr>
          <w:rFonts w:ascii="仿宋" w:hAnsi="仿宋" w:eastAsia="仿宋" w:cs="仿宋"/>
          <w:szCs w:val="21"/>
        </w:rPr>
      </w:pPr>
      <w:r>
        <w:rPr>
          <w:rFonts w:hint="eastAsia" w:ascii="仿宋" w:hAnsi="仿宋" w:eastAsia="仿宋" w:cs="仿宋"/>
          <w:szCs w:val="21"/>
        </w:rPr>
        <w:t>11.4 如果响应文件实质上没有响应谈判文件的要求，谈判小组将予以拒绝，供应商不得通过修改或撤销不合要求的偏离或保留而使其响应文件成为实质性响应的文件。</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11.5 在按照14.2的规定进行审查时，谈判小组可以以书面形式要求供应商对响应文件中含义不明确、同类问题表述不一致或者有明显文字和计算错误的内容等作出必要的澄清、说明或者更正。供应商的澄清、说明或者更正不得超出响应文件的范围或者改变响应文件的实质性内容。接到谈判小组澄清等要求的供应商如未按规定做出澄清，其风险由供应商自行承担。</w:t>
      </w:r>
    </w:p>
    <w:p>
      <w:pPr>
        <w:spacing w:line="360" w:lineRule="auto"/>
        <w:rPr>
          <w:rFonts w:ascii="仿宋" w:hAnsi="仿宋" w:eastAsia="仿宋" w:cs="仿宋"/>
          <w:szCs w:val="21"/>
        </w:rPr>
      </w:pPr>
      <w:r>
        <w:rPr>
          <w:rFonts w:hint="eastAsia" w:ascii="仿宋" w:hAnsi="仿宋" w:eastAsia="仿宋" w:cs="仿宋"/>
          <w:szCs w:val="21"/>
        </w:rPr>
        <w:t>11.6信用记录</w:t>
      </w:r>
    </w:p>
    <w:p>
      <w:pPr>
        <w:spacing w:line="360" w:lineRule="auto"/>
        <w:rPr>
          <w:rFonts w:ascii="仿宋" w:hAnsi="仿宋" w:eastAsia="仿宋" w:cs="仿宋"/>
          <w:szCs w:val="21"/>
        </w:rPr>
      </w:pPr>
      <w:r>
        <w:rPr>
          <w:rFonts w:hint="eastAsia" w:ascii="仿宋" w:hAnsi="仿宋" w:eastAsia="仿宋" w:cs="仿宋"/>
          <w:szCs w:val="21"/>
        </w:rPr>
        <w:t>11.6.1招标采购单位将在开标前一天至投标截止后一小时期间查询投标人的信用记录，投标人存在不良信用记录的，其投标将被作为无效投标被拒绝。</w:t>
      </w:r>
    </w:p>
    <w:p>
      <w:pPr>
        <w:spacing w:line="360" w:lineRule="auto"/>
        <w:rPr>
          <w:rFonts w:ascii="仿宋" w:hAnsi="仿宋" w:eastAsia="仿宋" w:cs="仿宋"/>
          <w:szCs w:val="21"/>
        </w:rPr>
      </w:pPr>
      <w:r>
        <w:rPr>
          <w:rFonts w:hint="eastAsia" w:ascii="仿宋" w:hAnsi="仿宋" w:eastAsia="仿宋" w:cs="仿宋"/>
          <w:szCs w:val="21"/>
        </w:rPr>
        <w:t>11.6.2 不良信用记录指：投标人在“信用中国”网站（www.creditchina.gov.cn）被列入失信被执行人和重大税收违法案件当事人名单或在中国政府采购网（www.ccgp.gov.cn）被列入政府采购严重违法失信行为记录名单。</w:t>
      </w:r>
    </w:p>
    <w:p>
      <w:pPr>
        <w:spacing w:line="360" w:lineRule="auto"/>
        <w:rPr>
          <w:rFonts w:ascii="仿宋" w:hAnsi="仿宋" w:eastAsia="仿宋" w:cs="仿宋"/>
          <w:szCs w:val="21"/>
        </w:rPr>
      </w:pPr>
      <w:r>
        <w:rPr>
          <w:rFonts w:hint="eastAsia" w:ascii="仿宋" w:hAnsi="仿宋" w:eastAsia="仿宋" w:cs="仿宋"/>
          <w:szCs w:val="21"/>
        </w:rPr>
        <w:t>联合体投标的，联合体成员存在以上不良信用记录的，视同联合体存在不良信用记录。</w:t>
      </w:r>
    </w:p>
    <w:p>
      <w:pPr>
        <w:spacing w:line="360" w:lineRule="auto"/>
        <w:rPr>
          <w:rFonts w:ascii="仿宋" w:hAnsi="仿宋" w:eastAsia="仿宋" w:cs="仿宋"/>
          <w:szCs w:val="21"/>
        </w:rPr>
      </w:pPr>
      <w:r>
        <w:rPr>
          <w:rFonts w:hint="eastAsia" w:ascii="仿宋" w:hAnsi="仿宋" w:eastAsia="仿宋" w:cs="仿宋"/>
          <w:szCs w:val="21"/>
        </w:rPr>
        <w:t>11.6.3查询及记录方式：招标采购单位经办人和监督人员将查询网页打印、签字并存档备查。投标人不良信用记录以招标采购单位查询结果为准，招标采购单位查询之后，网站信息发生的任何变更均不再作为评标依据，投标人自行提供的与网站信息不一致的其他证明材料亦不作为评标依据。</w:t>
      </w:r>
    </w:p>
    <w:p>
      <w:pPr>
        <w:spacing w:line="360" w:lineRule="auto"/>
        <w:rPr>
          <w:rFonts w:ascii="仿宋" w:hAnsi="仿宋" w:eastAsia="仿宋" w:cs="仿宋"/>
          <w:szCs w:val="21"/>
        </w:rPr>
      </w:pPr>
      <w:r>
        <w:rPr>
          <w:rFonts w:hint="eastAsia" w:ascii="仿宋" w:hAnsi="仿宋" w:eastAsia="仿宋" w:cs="仿宋"/>
          <w:szCs w:val="21"/>
        </w:rPr>
        <w:t>11.7 对未被认定为参加谈判的供应商和其它未实质性响应谈判文件的供应商，谈判小组将及时告知。</w:t>
      </w:r>
    </w:p>
    <w:p>
      <w:pPr>
        <w:pStyle w:val="3"/>
        <w:spacing w:before="0" w:after="0" w:line="360" w:lineRule="auto"/>
        <w:jc w:val="left"/>
        <w:rPr>
          <w:rFonts w:ascii="仿宋" w:hAnsi="仿宋" w:eastAsia="仿宋" w:cs="仿宋"/>
          <w:sz w:val="21"/>
          <w:szCs w:val="21"/>
        </w:rPr>
      </w:pPr>
      <w:bookmarkStart w:id="25" w:name="_Toc380479107"/>
      <w:r>
        <w:rPr>
          <w:rFonts w:hint="eastAsia" w:ascii="仿宋" w:hAnsi="仿宋" w:eastAsia="仿宋" w:cs="仿宋"/>
          <w:sz w:val="21"/>
          <w:szCs w:val="21"/>
        </w:rPr>
        <w:t>12．谈判</w:t>
      </w:r>
      <w:bookmarkEnd w:id="25"/>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12.1 依据谈判文件的要求和各供应商响应文件的应答情况，谈判小组所有成员集中在通知的时间，与参加的供应商逐一进行一轮或多轮谈判。谈判小组将给予所有参加谈判的供应商平等的谈判机会。谈判小组不保证最低报价中标。</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12.2 谈判包括但不限于以下内容：</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（1）谈判小组根据谈判文件要求，对照各谈判供应商提交的响应文件中技术、服务以及合同草案条款等应答情况，进行确认或者询问；</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（2）按</w:t>
      </w:r>
      <w:r>
        <w:rPr>
          <w:rFonts w:hint="eastAsia" w:ascii="仿宋" w:hAnsi="仿宋" w:eastAsia="仿宋" w:cs="仿宋"/>
          <w:szCs w:val="21"/>
          <w:u w:val="single"/>
        </w:rPr>
        <w:t>前附表</w:t>
      </w:r>
      <w:r>
        <w:rPr>
          <w:rFonts w:hint="eastAsia" w:ascii="仿宋" w:hAnsi="仿宋" w:eastAsia="仿宋" w:cs="仿宋"/>
          <w:szCs w:val="21"/>
        </w:rPr>
        <w:t>修改变动谈判文件，并及时以书面形式同时通知所有参加谈判的供应商；</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（3）针对修改变动的谈判文件，与所有参加谈判的供应商进行确认或者询问。</w:t>
      </w:r>
    </w:p>
    <w:p>
      <w:pPr>
        <w:pStyle w:val="3"/>
        <w:spacing w:before="0" w:after="0" w:line="360" w:lineRule="auto"/>
        <w:jc w:val="left"/>
        <w:rPr>
          <w:rFonts w:ascii="仿宋" w:hAnsi="仿宋" w:eastAsia="仿宋" w:cs="仿宋"/>
          <w:sz w:val="21"/>
          <w:szCs w:val="21"/>
        </w:rPr>
      </w:pPr>
      <w:bookmarkStart w:id="26" w:name="_Toc380479108"/>
      <w:r>
        <w:rPr>
          <w:rFonts w:hint="eastAsia" w:ascii="仿宋" w:hAnsi="仿宋" w:eastAsia="仿宋" w:cs="仿宋"/>
          <w:sz w:val="21"/>
          <w:szCs w:val="21"/>
        </w:rPr>
        <w:t>13．保密原则</w:t>
      </w:r>
      <w:bookmarkEnd w:id="26"/>
    </w:p>
    <w:p>
      <w:pPr>
        <w:snapToGrid w:val="0"/>
        <w:spacing w:line="360" w:lineRule="auto"/>
        <w:rPr>
          <w:rFonts w:ascii="仿宋" w:hAnsi="仿宋" w:eastAsia="仿宋" w:cs="仿宋"/>
          <w:szCs w:val="21"/>
        </w:rPr>
      </w:pPr>
      <w:r>
        <w:rPr>
          <w:rFonts w:hint="eastAsia" w:ascii="仿宋" w:hAnsi="仿宋" w:eastAsia="仿宋" w:cs="仿宋"/>
          <w:szCs w:val="21"/>
        </w:rPr>
        <w:t>13.1 谈判小组成员以及与谈判工作有关的人员不得泄露评审和谈判过程中获悉的国家秘密、商业秘密，不得超越法规的规定向无关人员告知评审和谈判情况。</w:t>
      </w:r>
    </w:p>
    <w:p>
      <w:pPr>
        <w:snapToGrid w:val="0"/>
        <w:spacing w:line="360" w:lineRule="auto"/>
        <w:ind w:firstLine="420" w:firstLineChars="200"/>
        <w:rPr>
          <w:rFonts w:ascii="仿宋" w:hAnsi="仿宋" w:eastAsia="仿宋" w:cs="仿宋"/>
          <w:szCs w:val="21"/>
        </w:rPr>
      </w:pPr>
    </w:p>
    <w:p>
      <w:pPr>
        <w:pStyle w:val="3"/>
        <w:spacing w:before="0" w:after="0" w:line="360" w:lineRule="auto"/>
        <w:rPr>
          <w:rFonts w:ascii="仿宋" w:hAnsi="仿宋" w:eastAsia="仿宋" w:cs="仿宋"/>
          <w:b w:val="0"/>
          <w:sz w:val="21"/>
          <w:szCs w:val="21"/>
        </w:rPr>
      </w:pPr>
      <w:bookmarkStart w:id="27" w:name="_Toc380479109"/>
      <w:r>
        <w:rPr>
          <w:rFonts w:hint="eastAsia" w:ascii="仿宋" w:hAnsi="仿宋" w:eastAsia="仿宋" w:cs="仿宋"/>
          <w:sz w:val="21"/>
          <w:szCs w:val="21"/>
        </w:rPr>
        <w:t>六  最后报价</w:t>
      </w:r>
      <w:bookmarkEnd w:id="27"/>
    </w:p>
    <w:p>
      <w:pPr>
        <w:pStyle w:val="3"/>
        <w:spacing w:before="0" w:after="0" w:line="360" w:lineRule="auto"/>
        <w:jc w:val="left"/>
        <w:rPr>
          <w:rFonts w:ascii="仿宋" w:hAnsi="仿宋" w:eastAsia="仿宋" w:cs="仿宋"/>
          <w:sz w:val="21"/>
          <w:szCs w:val="21"/>
        </w:rPr>
      </w:pPr>
      <w:bookmarkStart w:id="28" w:name="_Toc380479110"/>
      <w:r>
        <w:rPr>
          <w:rFonts w:hint="eastAsia" w:ascii="仿宋" w:hAnsi="仿宋" w:eastAsia="仿宋" w:cs="仿宋"/>
          <w:sz w:val="21"/>
          <w:szCs w:val="21"/>
        </w:rPr>
        <w:t>14．最后报价的提交</w:t>
      </w:r>
      <w:bookmarkEnd w:id="28"/>
    </w:p>
    <w:p>
      <w:pPr>
        <w:spacing w:line="360" w:lineRule="auto"/>
        <w:rPr>
          <w:rFonts w:ascii="仿宋" w:hAnsi="仿宋" w:eastAsia="仿宋" w:cs="仿宋"/>
          <w:szCs w:val="21"/>
        </w:rPr>
      </w:pPr>
      <w:r>
        <w:rPr>
          <w:rFonts w:hint="eastAsia" w:ascii="仿宋" w:hAnsi="仿宋" w:eastAsia="仿宋" w:cs="仿宋"/>
          <w:szCs w:val="21"/>
        </w:rPr>
        <w:t>14.1 谈判结束后，所有继续参加谈判的供应商应在谈判小组规定时间内提交最后报价。如果</w:t>
      </w:r>
      <w:r>
        <w:rPr>
          <w:rFonts w:hint="eastAsia" w:ascii="仿宋" w:hAnsi="仿宋" w:eastAsia="仿宋" w:cs="仿宋"/>
          <w:kern w:val="0"/>
          <w:szCs w:val="21"/>
        </w:rPr>
        <w:t>谈判文件不能详细列明采购标的的技术、服务要求，谈判结束后，谈判小组将按照少数服从多数的原则投票推荐3家以上供应商的设计方案或者解决方案，并要求其在规定时间内提交最后报价。</w:t>
      </w:r>
    </w:p>
    <w:p>
      <w:pPr>
        <w:spacing w:line="360" w:lineRule="auto"/>
        <w:rPr>
          <w:rFonts w:ascii="仿宋" w:hAnsi="仿宋" w:eastAsia="仿宋" w:cs="仿宋"/>
          <w:szCs w:val="21"/>
        </w:rPr>
      </w:pPr>
      <w:r>
        <w:rPr>
          <w:rFonts w:hint="eastAsia" w:ascii="仿宋" w:hAnsi="仿宋" w:eastAsia="仿宋" w:cs="仿宋"/>
          <w:szCs w:val="21"/>
        </w:rPr>
        <w:t>14.2 最后报价是供应商响应文件的有效组成部分。</w:t>
      </w:r>
    </w:p>
    <w:p>
      <w:pPr>
        <w:spacing w:line="360" w:lineRule="auto"/>
        <w:rPr>
          <w:rFonts w:ascii="仿宋" w:hAnsi="仿宋" w:eastAsia="仿宋" w:cs="仿宋"/>
          <w:szCs w:val="21"/>
        </w:rPr>
      </w:pPr>
      <w:r>
        <w:rPr>
          <w:rFonts w:hint="eastAsia" w:ascii="仿宋" w:hAnsi="仿宋" w:eastAsia="仿宋" w:cs="仿宋"/>
          <w:szCs w:val="21"/>
        </w:rPr>
        <w:t>14.3 最后报价，须密封递交，仅需一份正本，签署规定同本谈判文件要求。</w:t>
      </w:r>
    </w:p>
    <w:p>
      <w:pPr>
        <w:pStyle w:val="3"/>
        <w:spacing w:before="0" w:after="0" w:line="360" w:lineRule="auto"/>
        <w:jc w:val="left"/>
        <w:rPr>
          <w:rFonts w:ascii="仿宋" w:hAnsi="仿宋" w:eastAsia="仿宋" w:cs="仿宋"/>
          <w:sz w:val="21"/>
          <w:szCs w:val="21"/>
        </w:rPr>
      </w:pPr>
      <w:bookmarkStart w:id="29" w:name="_Toc380479111"/>
      <w:r>
        <w:rPr>
          <w:rFonts w:hint="eastAsia" w:ascii="仿宋" w:hAnsi="仿宋" w:eastAsia="仿宋" w:cs="仿宋"/>
          <w:sz w:val="21"/>
          <w:szCs w:val="21"/>
        </w:rPr>
        <w:t>15．逾期提交的最后报价</w:t>
      </w:r>
      <w:bookmarkEnd w:id="29"/>
    </w:p>
    <w:p>
      <w:pPr>
        <w:spacing w:line="360" w:lineRule="auto"/>
        <w:rPr>
          <w:rFonts w:ascii="仿宋" w:hAnsi="仿宋" w:eastAsia="仿宋" w:cs="仿宋"/>
          <w:szCs w:val="21"/>
        </w:rPr>
      </w:pPr>
      <w:r>
        <w:rPr>
          <w:rFonts w:hint="eastAsia" w:ascii="仿宋" w:hAnsi="仿宋" w:eastAsia="仿宋" w:cs="仿宋"/>
          <w:szCs w:val="21"/>
        </w:rPr>
        <w:t>15.1 最后报价须在谈判小组规定的时间内送达指定地点。逾期提交最后报价的谈判供应商将被取消授予合同的资格。</w:t>
      </w:r>
    </w:p>
    <w:p>
      <w:pPr>
        <w:spacing w:line="360" w:lineRule="auto"/>
        <w:rPr>
          <w:rFonts w:ascii="仿宋" w:hAnsi="仿宋" w:eastAsia="仿宋" w:cs="仿宋"/>
          <w:b/>
          <w:szCs w:val="21"/>
        </w:rPr>
      </w:pPr>
    </w:p>
    <w:p>
      <w:pPr>
        <w:pStyle w:val="3"/>
        <w:spacing w:before="0" w:after="0" w:line="360" w:lineRule="auto"/>
        <w:rPr>
          <w:rFonts w:ascii="仿宋" w:hAnsi="仿宋" w:eastAsia="仿宋" w:cs="仿宋"/>
          <w:b w:val="0"/>
          <w:sz w:val="21"/>
          <w:szCs w:val="21"/>
        </w:rPr>
      </w:pPr>
      <w:bookmarkStart w:id="30" w:name="_Toc380479112"/>
      <w:r>
        <w:rPr>
          <w:rFonts w:hint="eastAsia" w:ascii="仿宋" w:hAnsi="仿宋" w:eastAsia="仿宋" w:cs="仿宋"/>
          <w:sz w:val="21"/>
          <w:szCs w:val="21"/>
        </w:rPr>
        <w:t>七  确定成交候选供应商</w:t>
      </w:r>
      <w:bookmarkEnd w:id="30"/>
    </w:p>
    <w:p>
      <w:pPr>
        <w:pStyle w:val="3"/>
        <w:spacing w:before="0" w:after="0" w:line="360" w:lineRule="auto"/>
        <w:jc w:val="left"/>
        <w:rPr>
          <w:rFonts w:ascii="仿宋" w:hAnsi="仿宋" w:eastAsia="仿宋" w:cs="仿宋"/>
          <w:sz w:val="21"/>
          <w:szCs w:val="21"/>
        </w:rPr>
      </w:pPr>
      <w:bookmarkStart w:id="31" w:name="_Toc380479113"/>
      <w:r>
        <w:rPr>
          <w:rFonts w:hint="eastAsia" w:ascii="仿宋" w:hAnsi="仿宋" w:eastAsia="仿宋" w:cs="仿宋"/>
          <w:sz w:val="21"/>
          <w:szCs w:val="21"/>
        </w:rPr>
        <w:t>16．确定成交候选供应商原则</w:t>
      </w:r>
      <w:bookmarkEnd w:id="31"/>
    </w:p>
    <w:p>
      <w:pPr>
        <w:spacing w:line="360" w:lineRule="auto"/>
        <w:rPr>
          <w:rFonts w:ascii="仿宋" w:hAnsi="仿宋" w:eastAsia="仿宋" w:cs="仿宋"/>
          <w:kern w:val="0"/>
          <w:szCs w:val="21"/>
        </w:rPr>
      </w:pPr>
      <w:r>
        <w:rPr>
          <w:rFonts w:hint="eastAsia" w:ascii="仿宋" w:hAnsi="仿宋" w:eastAsia="仿宋" w:cs="仿宋"/>
          <w:kern w:val="0"/>
          <w:szCs w:val="21"/>
        </w:rPr>
        <w:t>16.1 谈判小组从质量和服务均能满足采购文件实质性响应要求的供应商中，按照</w:t>
      </w:r>
      <w:r>
        <w:rPr>
          <w:rFonts w:hint="eastAsia" w:ascii="仿宋" w:hAnsi="仿宋" w:eastAsia="仿宋" w:cs="仿宋"/>
          <w:kern w:val="0"/>
          <w:szCs w:val="21"/>
          <w:lang w:eastAsia="zh-CN"/>
        </w:rPr>
        <w:t>报价</w:t>
      </w:r>
      <w:r>
        <w:rPr>
          <w:rFonts w:hint="eastAsia" w:ascii="仿宋" w:hAnsi="仿宋" w:eastAsia="仿宋" w:cs="仿宋"/>
          <w:kern w:val="0"/>
          <w:szCs w:val="21"/>
        </w:rPr>
        <w:t>由</w:t>
      </w:r>
      <w:r>
        <w:rPr>
          <w:rFonts w:hint="eastAsia" w:ascii="仿宋" w:hAnsi="仿宋" w:eastAsia="仿宋" w:cs="仿宋"/>
          <w:kern w:val="0"/>
          <w:szCs w:val="21"/>
          <w:lang w:eastAsia="zh-CN"/>
        </w:rPr>
        <w:t>低</w:t>
      </w:r>
      <w:r>
        <w:rPr>
          <w:rFonts w:hint="eastAsia" w:ascii="仿宋" w:hAnsi="仿宋" w:eastAsia="仿宋" w:cs="仿宋"/>
          <w:kern w:val="0"/>
          <w:szCs w:val="21"/>
        </w:rPr>
        <w:t>到</w:t>
      </w:r>
      <w:r>
        <w:rPr>
          <w:rFonts w:hint="eastAsia" w:ascii="仿宋" w:hAnsi="仿宋" w:eastAsia="仿宋" w:cs="仿宋"/>
          <w:kern w:val="0"/>
          <w:szCs w:val="21"/>
          <w:lang w:eastAsia="zh-CN"/>
        </w:rPr>
        <w:t>高</w:t>
      </w:r>
      <w:r>
        <w:rPr>
          <w:rFonts w:hint="eastAsia" w:ascii="仿宋" w:hAnsi="仿宋" w:eastAsia="仿宋" w:cs="仿宋"/>
          <w:kern w:val="0"/>
          <w:szCs w:val="21"/>
        </w:rPr>
        <w:t>顺序提出成交候选供应商，推荐数量见</w:t>
      </w:r>
      <w:r>
        <w:rPr>
          <w:rFonts w:hint="eastAsia" w:ascii="仿宋" w:hAnsi="仿宋" w:eastAsia="仿宋" w:cs="仿宋"/>
          <w:kern w:val="0"/>
          <w:szCs w:val="21"/>
          <w:u w:val="single"/>
        </w:rPr>
        <w:t>前附表</w:t>
      </w:r>
      <w:r>
        <w:rPr>
          <w:rFonts w:hint="eastAsia" w:ascii="仿宋" w:hAnsi="仿宋" w:eastAsia="仿宋" w:cs="仿宋"/>
          <w:kern w:val="0"/>
          <w:szCs w:val="21"/>
        </w:rPr>
        <w:t>。被推荐为成交候选供应商的最后报价应不高于本项目采购预算控制金额。</w:t>
      </w:r>
    </w:p>
    <w:p>
      <w:pPr>
        <w:spacing w:line="360" w:lineRule="auto"/>
        <w:rPr>
          <w:rFonts w:ascii="仿宋" w:hAnsi="仿宋" w:eastAsia="仿宋" w:cs="仿宋"/>
          <w:kern w:val="0"/>
          <w:szCs w:val="21"/>
        </w:rPr>
      </w:pPr>
      <w:r>
        <w:rPr>
          <w:rFonts w:hint="eastAsia" w:ascii="仿宋" w:hAnsi="仿宋" w:eastAsia="仿宋" w:cs="仿宋"/>
          <w:kern w:val="0"/>
          <w:szCs w:val="21"/>
        </w:rPr>
        <w:t>16.2 如出现最后评分相等的情况，由谈判小组按照少数服从多数的原则投票确定最后报价相同的成交候选供应商顺序。</w:t>
      </w:r>
    </w:p>
    <w:p>
      <w:pPr>
        <w:spacing w:line="360" w:lineRule="auto"/>
        <w:rPr>
          <w:rFonts w:ascii="仿宋" w:hAnsi="仿宋" w:eastAsia="仿宋" w:cs="仿宋"/>
          <w:kern w:val="0"/>
          <w:szCs w:val="21"/>
        </w:rPr>
      </w:pPr>
    </w:p>
    <w:p>
      <w:pPr>
        <w:spacing w:line="360" w:lineRule="auto"/>
        <w:rPr>
          <w:rFonts w:ascii="仿宋" w:hAnsi="仿宋" w:eastAsia="仿宋" w:cs="仿宋"/>
          <w:kern w:val="0"/>
          <w:szCs w:val="21"/>
        </w:rPr>
      </w:pPr>
    </w:p>
    <w:p>
      <w:pPr>
        <w:spacing w:line="360" w:lineRule="auto"/>
        <w:rPr>
          <w:rFonts w:ascii="仿宋" w:hAnsi="仿宋" w:eastAsia="仿宋" w:cs="仿宋"/>
          <w:kern w:val="0"/>
          <w:szCs w:val="21"/>
        </w:rPr>
      </w:pPr>
    </w:p>
    <w:p>
      <w:pPr>
        <w:pStyle w:val="3"/>
        <w:spacing w:before="0" w:after="0" w:line="360" w:lineRule="auto"/>
        <w:jc w:val="left"/>
        <w:rPr>
          <w:rFonts w:ascii="仿宋" w:hAnsi="仿宋" w:eastAsia="仿宋" w:cs="仿宋"/>
          <w:sz w:val="21"/>
          <w:szCs w:val="21"/>
        </w:rPr>
      </w:pPr>
      <w:bookmarkStart w:id="32" w:name="_Toc380479114"/>
      <w:r>
        <w:rPr>
          <w:rFonts w:hint="eastAsia" w:ascii="仿宋" w:hAnsi="仿宋" w:eastAsia="仿宋" w:cs="仿宋"/>
          <w:sz w:val="21"/>
          <w:szCs w:val="21"/>
        </w:rPr>
        <w:t>17．政府采购政策功能的落实</w:t>
      </w:r>
      <w:bookmarkEnd w:id="32"/>
    </w:p>
    <w:p>
      <w:pPr>
        <w:spacing w:line="360" w:lineRule="auto"/>
        <w:rPr>
          <w:rFonts w:ascii="仿宋" w:hAnsi="仿宋" w:eastAsia="仿宋" w:cs="仿宋"/>
          <w:kern w:val="0"/>
          <w:szCs w:val="21"/>
        </w:rPr>
      </w:pPr>
      <w:r>
        <w:rPr>
          <w:rFonts w:hint="eastAsia" w:ascii="仿宋" w:hAnsi="仿宋" w:eastAsia="仿宋" w:cs="仿宋"/>
          <w:kern w:val="0"/>
          <w:szCs w:val="21"/>
        </w:rPr>
        <w:t>17.1根据</w:t>
      </w:r>
      <w:r>
        <w:rPr>
          <w:rFonts w:hint="eastAsia" w:ascii="仿宋" w:hAnsi="仿宋" w:eastAsia="仿宋" w:cs="仿宋"/>
          <w:szCs w:val="21"/>
        </w:rPr>
        <w:t>《政府采购促进中小企业发展暂行办法》（财库[2011]181号）和《财政部司法部关于政府采购支持监狱企业发展有关问题的通知》（财库〔2014〕68号）</w:t>
      </w:r>
      <w:r>
        <w:rPr>
          <w:rFonts w:hint="eastAsia" w:ascii="仿宋" w:hAnsi="仿宋" w:eastAsia="仿宋" w:cs="仿宋"/>
          <w:kern w:val="0"/>
          <w:szCs w:val="21"/>
        </w:rPr>
        <w:t>的规定，对满足价格扣除条件且在谈判响应文件中提交了相应的</w:t>
      </w:r>
      <w:r>
        <w:rPr>
          <w:rFonts w:hint="eastAsia" w:ascii="仿宋" w:hAnsi="仿宋" w:eastAsia="仿宋" w:cs="仿宋"/>
          <w:szCs w:val="21"/>
        </w:rPr>
        <w:t>谈判供应商企业类型声明函、制造商企业类型声明函</w:t>
      </w:r>
      <w:r>
        <w:rPr>
          <w:rFonts w:hint="eastAsia" w:ascii="仿宋" w:hAnsi="仿宋" w:eastAsia="仿宋" w:cs="仿宋"/>
          <w:kern w:val="0"/>
          <w:szCs w:val="21"/>
        </w:rPr>
        <w:t>的小型和微型企业，其谈判最后报价将按扣除后的价格参与评审，具体扣除比例见</w:t>
      </w:r>
      <w:r>
        <w:rPr>
          <w:rFonts w:hint="eastAsia" w:ascii="仿宋" w:hAnsi="仿宋" w:eastAsia="仿宋" w:cs="仿宋"/>
          <w:kern w:val="0"/>
          <w:szCs w:val="21"/>
          <w:u w:val="single"/>
        </w:rPr>
        <w:t>前附表</w:t>
      </w:r>
      <w:r>
        <w:rPr>
          <w:rFonts w:hint="eastAsia" w:ascii="仿宋" w:hAnsi="仿宋" w:eastAsia="仿宋" w:cs="仿宋"/>
          <w:kern w:val="0"/>
          <w:szCs w:val="21"/>
        </w:rPr>
        <w:t>。</w:t>
      </w:r>
    </w:p>
    <w:p>
      <w:pPr>
        <w:pStyle w:val="3"/>
        <w:spacing w:before="0" w:after="0" w:line="360" w:lineRule="auto"/>
        <w:jc w:val="left"/>
        <w:rPr>
          <w:rFonts w:ascii="仿宋" w:hAnsi="仿宋" w:eastAsia="仿宋" w:cs="仿宋"/>
          <w:sz w:val="21"/>
          <w:szCs w:val="21"/>
        </w:rPr>
      </w:pPr>
      <w:bookmarkStart w:id="33" w:name="_Toc380479115"/>
      <w:r>
        <w:rPr>
          <w:rFonts w:hint="eastAsia" w:ascii="仿宋" w:hAnsi="仿宋" w:eastAsia="仿宋" w:cs="仿宋"/>
          <w:sz w:val="21"/>
          <w:szCs w:val="21"/>
        </w:rPr>
        <w:t>18．最终评价确定</w:t>
      </w:r>
      <w:bookmarkEnd w:id="33"/>
    </w:p>
    <w:p>
      <w:pPr>
        <w:spacing w:line="360" w:lineRule="auto"/>
        <w:rPr>
          <w:rFonts w:ascii="仿宋" w:hAnsi="仿宋" w:eastAsia="仿宋" w:cs="仿宋"/>
          <w:kern w:val="0"/>
          <w:szCs w:val="21"/>
        </w:rPr>
      </w:pPr>
      <w:r>
        <w:rPr>
          <w:rFonts w:hint="eastAsia" w:ascii="仿宋" w:hAnsi="仿宋" w:eastAsia="仿宋" w:cs="仿宋"/>
          <w:kern w:val="0"/>
          <w:szCs w:val="21"/>
        </w:rPr>
        <w:t>18.1 采购人有权对推荐为成交候选供应商的供应商的资格条件及价格计算方面进行审查。</w:t>
      </w:r>
    </w:p>
    <w:p>
      <w:pPr>
        <w:spacing w:line="360" w:lineRule="auto"/>
        <w:rPr>
          <w:rFonts w:ascii="仿宋" w:hAnsi="仿宋" w:eastAsia="仿宋" w:cs="仿宋"/>
          <w:kern w:val="0"/>
          <w:szCs w:val="21"/>
        </w:rPr>
      </w:pPr>
      <w:r>
        <w:rPr>
          <w:rFonts w:hint="eastAsia" w:ascii="仿宋" w:hAnsi="仿宋" w:eastAsia="仿宋" w:cs="仿宋"/>
          <w:kern w:val="0"/>
          <w:szCs w:val="21"/>
        </w:rPr>
        <w:t>18.2 采购人从评审报告提出的成交候选供应商中，根据质量和服务均能满足采购文件实质性响应要求且最后报价最低的原则确定成交供应商，也可以书面授权谈判小组直接确定成交供应商。</w:t>
      </w:r>
    </w:p>
    <w:p>
      <w:pPr>
        <w:pStyle w:val="3"/>
        <w:spacing w:before="0" w:after="0" w:line="360" w:lineRule="auto"/>
        <w:jc w:val="left"/>
        <w:rPr>
          <w:rFonts w:ascii="仿宋" w:hAnsi="仿宋" w:eastAsia="仿宋" w:cs="仿宋"/>
          <w:sz w:val="21"/>
          <w:szCs w:val="21"/>
        </w:rPr>
      </w:pPr>
      <w:bookmarkStart w:id="34" w:name="_Toc380479116"/>
      <w:r>
        <w:rPr>
          <w:rFonts w:hint="eastAsia" w:ascii="仿宋" w:hAnsi="仿宋" w:eastAsia="仿宋" w:cs="仿宋"/>
          <w:sz w:val="21"/>
          <w:szCs w:val="21"/>
        </w:rPr>
        <w:t>19．签订合同</w:t>
      </w:r>
      <w:bookmarkEnd w:id="34"/>
    </w:p>
    <w:p>
      <w:pPr>
        <w:spacing w:line="360" w:lineRule="auto"/>
        <w:rPr>
          <w:rFonts w:ascii="仿宋" w:hAnsi="仿宋" w:eastAsia="仿宋" w:cs="仿宋"/>
          <w:szCs w:val="21"/>
        </w:rPr>
      </w:pPr>
      <w:r>
        <w:rPr>
          <w:rFonts w:hint="eastAsia" w:ascii="仿宋" w:hAnsi="仿宋" w:eastAsia="仿宋" w:cs="仿宋"/>
          <w:szCs w:val="21"/>
        </w:rPr>
        <w:t>19.1 采购方将以书面形式向成交供应商发出结果通知。</w:t>
      </w:r>
    </w:p>
    <w:p>
      <w:pPr>
        <w:spacing w:line="360" w:lineRule="auto"/>
        <w:rPr>
          <w:rFonts w:ascii="仿宋" w:hAnsi="仿宋" w:eastAsia="仿宋" w:cs="仿宋"/>
          <w:szCs w:val="21"/>
        </w:rPr>
      </w:pPr>
      <w:r>
        <w:rPr>
          <w:rFonts w:hint="eastAsia" w:ascii="仿宋" w:hAnsi="仿宋" w:eastAsia="仿宋" w:cs="仿宋"/>
          <w:szCs w:val="21"/>
        </w:rPr>
        <w:t>19.2 成交结果通知书发出后，采购人将与成交供应商签订合同。</w:t>
      </w:r>
    </w:p>
    <w:p>
      <w:pPr>
        <w:pStyle w:val="3"/>
        <w:spacing w:before="0" w:after="0" w:line="360" w:lineRule="auto"/>
        <w:jc w:val="left"/>
        <w:rPr>
          <w:rFonts w:ascii="仿宋" w:hAnsi="仿宋" w:eastAsia="仿宋" w:cs="仿宋"/>
          <w:sz w:val="21"/>
          <w:szCs w:val="21"/>
        </w:rPr>
      </w:pPr>
      <w:bookmarkStart w:id="35" w:name="_Toc380479117"/>
      <w:r>
        <w:rPr>
          <w:rFonts w:hint="eastAsia" w:ascii="仿宋" w:hAnsi="仿宋" w:eastAsia="仿宋" w:cs="仿宋"/>
          <w:sz w:val="21"/>
          <w:szCs w:val="21"/>
        </w:rPr>
        <w:t>20. 采购终止</w:t>
      </w:r>
      <w:bookmarkEnd w:id="35"/>
    </w:p>
    <w:p>
      <w:pPr>
        <w:spacing w:line="360" w:lineRule="auto"/>
        <w:rPr>
          <w:rFonts w:ascii="仿宋" w:hAnsi="仿宋" w:eastAsia="仿宋" w:cs="仿宋"/>
          <w:szCs w:val="21"/>
        </w:rPr>
      </w:pPr>
      <w:r>
        <w:rPr>
          <w:rFonts w:hint="eastAsia" w:ascii="仿宋" w:hAnsi="仿宋" w:eastAsia="仿宋" w:cs="仿宋"/>
          <w:szCs w:val="21"/>
        </w:rPr>
        <w:t>20.1 出现下列情形之一的，采购人或者招标方将终止竞争性谈判采购活动，发布项目终止公告并说明原因，重新开展采购活动：</w:t>
      </w:r>
    </w:p>
    <w:p>
      <w:pPr>
        <w:spacing w:line="360" w:lineRule="auto"/>
        <w:rPr>
          <w:rFonts w:ascii="仿宋" w:hAnsi="仿宋" w:eastAsia="仿宋" w:cs="仿宋"/>
          <w:szCs w:val="21"/>
        </w:rPr>
      </w:pPr>
      <w:r>
        <w:rPr>
          <w:rFonts w:hint="eastAsia" w:ascii="仿宋" w:hAnsi="仿宋" w:eastAsia="仿宋" w:cs="仿宋"/>
          <w:szCs w:val="21"/>
        </w:rPr>
        <w:t>（1）在采购活动中因重大变故，采购任务取消的；</w:t>
      </w:r>
    </w:p>
    <w:p>
      <w:pPr>
        <w:spacing w:line="360" w:lineRule="auto"/>
        <w:rPr>
          <w:rFonts w:ascii="仿宋" w:hAnsi="仿宋" w:eastAsia="仿宋" w:cs="仿宋"/>
          <w:szCs w:val="21"/>
        </w:rPr>
      </w:pPr>
      <w:r>
        <w:rPr>
          <w:rFonts w:hint="eastAsia" w:ascii="仿宋" w:hAnsi="仿宋" w:eastAsia="仿宋" w:cs="仿宋"/>
          <w:szCs w:val="21"/>
        </w:rPr>
        <w:t>（2） 因情况变化，不再符合规定的竞争性谈判采购方式适用情形的；</w:t>
      </w:r>
    </w:p>
    <w:p>
      <w:pPr>
        <w:spacing w:line="360" w:lineRule="auto"/>
        <w:rPr>
          <w:rFonts w:ascii="仿宋" w:hAnsi="仿宋" w:eastAsia="仿宋" w:cs="仿宋"/>
          <w:szCs w:val="21"/>
        </w:rPr>
      </w:pPr>
      <w:r>
        <w:rPr>
          <w:rFonts w:hint="eastAsia" w:ascii="仿宋" w:hAnsi="仿宋" w:eastAsia="仿宋" w:cs="仿宋"/>
          <w:szCs w:val="21"/>
        </w:rPr>
        <w:t>（3）出现影响采购公正的违法、违规行为的；</w:t>
      </w:r>
    </w:p>
    <w:p>
      <w:pPr>
        <w:spacing w:line="360" w:lineRule="auto"/>
        <w:rPr>
          <w:rFonts w:ascii="仿宋" w:hAnsi="仿宋" w:eastAsia="仿宋" w:cs="仿宋"/>
          <w:szCs w:val="21"/>
        </w:rPr>
      </w:pPr>
      <w:r>
        <w:rPr>
          <w:rFonts w:hint="eastAsia" w:ascii="仿宋" w:hAnsi="仿宋" w:eastAsia="仿宋" w:cs="仿宋"/>
          <w:szCs w:val="21"/>
        </w:rPr>
        <w:t>（4）在采购过程中符合竞争要求的供应商或者报价未超过采购预算的供应商不足3家的，但公开招标的项目，招标过程中提交投标文件或者经评审实质性响应招标文件要求的供应商只有2家的情形除外；</w:t>
      </w:r>
    </w:p>
    <w:p>
      <w:pPr>
        <w:spacing w:line="360" w:lineRule="auto"/>
        <w:rPr>
          <w:rFonts w:ascii="仿宋" w:hAnsi="仿宋" w:eastAsia="仿宋" w:cs="仿宋"/>
          <w:szCs w:val="21"/>
        </w:rPr>
      </w:pPr>
      <w:r>
        <w:rPr>
          <w:rFonts w:hint="eastAsia" w:ascii="仿宋" w:hAnsi="仿宋" w:eastAsia="仿宋" w:cs="仿宋"/>
          <w:szCs w:val="21"/>
        </w:rPr>
        <w:t>（5）谈判小组未确认谈判文件的。</w:t>
      </w:r>
    </w:p>
    <w:p>
      <w:pPr>
        <w:spacing w:line="360" w:lineRule="auto"/>
        <w:ind w:left="435"/>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jc w:val="center"/>
        <w:rPr>
          <w:rFonts w:ascii="仿宋" w:hAnsi="仿宋" w:eastAsia="仿宋" w:cs="仿宋"/>
          <w:szCs w:val="21"/>
        </w:rPr>
      </w:pPr>
      <w:bookmarkStart w:id="36" w:name="_Toc380479120"/>
      <w:r>
        <w:rPr>
          <w:rFonts w:hint="eastAsia" w:ascii="仿宋" w:hAnsi="仿宋" w:eastAsia="仿宋" w:cs="仿宋"/>
          <w:bCs/>
          <w:szCs w:val="21"/>
        </w:rPr>
        <w:t>第三章  采购需求</w:t>
      </w:r>
      <w:bookmarkEnd w:id="36"/>
    </w:p>
    <w:p>
      <w:pPr>
        <w:ind w:left="422" w:hanging="420" w:hangingChars="200"/>
        <w:contextualSpacing/>
        <w:rPr>
          <w:rFonts w:ascii="仿宋" w:hAnsi="仿宋" w:eastAsia="仿宋" w:cs="仿宋"/>
          <w:b/>
          <w:bCs/>
          <w:szCs w:val="21"/>
        </w:rPr>
      </w:pPr>
      <w:bookmarkStart w:id="37" w:name="_Toc452119193"/>
      <w:bookmarkStart w:id="38" w:name="_Toc380479121"/>
      <w:r>
        <w:rPr>
          <w:rFonts w:hint="eastAsia" w:ascii="仿宋" w:hAnsi="仿宋" w:eastAsia="仿宋" w:cs="仿宋"/>
          <w:b/>
          <w:bCs/>
          <w:szCs w:val="21"/>
        </w:rPr>
        <w:t>一、环境改造服务内容</w:t>
      </w:r>
    </w:p>
    <w:p>
      <w:pPr>
        <w:spacing w:before="120" w:after="120"/>
        <w:ind w:firstLine="105" w:firstLineChars="50"/>
        <w:rPr>
          <w:rFonts w:hint="eastAsia" w:ascii="仿宋" w:hAnsi="仿宋" w:eastAsia="仿宋" w:cs="仿宋"/>
          <w:bCs/>
          <w:szCs w:val="21"/>
        </w:rPr>
      </w:pPr>
      <w:bookmarkStart w:id="39" w:name="_Toc386110748"/>
      <w:bookmarkStart w:id="40" w:name="_Toc372115722"/>
      <w:bookmarkStart w:id="41" w:name="_Toc10487"/>
      <w:r>
        <w:rPr>
          <w:rFonts w:hint="eastAsia" w:ascii="仿宋" w:hAnsi="仿宋" w:eastAsia="仿宋" w:cs="仿宋"/>
          <w:bCs/>
          <w:szCs w:val="21"/>
        </w:rPr>
        <w:t>本项目位于廊坊市三河市学院大街防灾科技学院南校区西南角，空间共分为地上两层，目前作为学生事务发展中心使用，内部现有办公桌椅及办公电子设备若干，准备腾退。本次项目需将该区域的一、二层部分部分区域改为创客空间，为全校师生提供一个创业实践环境，建设要求要达使用场景要求。</w:t>
      </w:r>
    </w:p>
    <w:p>
      <w:pPr>
        <w:spacing w:before="120" w:after="120"/>
        <w:ind w:firstLine="105" w:firstLineChars="50"/>
        <w:rPr>
          <w:rFonts w:hint="eastAsia" w:ascii="仿宋" w:hAnsi="仿宋" w:eastAsia="仿宋" w:cs="仿宋"/>
          <w:bCs/>
          <w:szCs w:val="21"/>
        </w:rPr>
      </w:pPr>
      <w:r>
        <w:rPr>
          <w:rFonts w:hint="eastAsia" w:ascii="仿宋" w:hAnsi="仿宋" w:eastAsia="仿宋" w:cs="仿宋"/>
          <w:bCs/>
          <w:szCs w:val="21"/>
        </w:rPr>
        <w:t>施工面积约830平米，其中一层面积470平米，尺寸长18米*宽25米，一层结构高度约3.5米；二层室内面积360平米，尺寸为长16.6米*宽20米二层结构高度约3米，具体尺寸及施工内容详见图纸。</w:t>
      </w:r>
    </w:p>
    <w:p>
      <w:pPr>
        <w:spacing w:before="120" w:after="120"/>
        <w:ind w:firstLine="105" w:firstLineChars="50"/>
        <w:rPr>
          <w:rFonts w:hint="eastAsia" w:ascii="仿宋" w:hAnsi="仿宋" w:eastAsia="仿宋" w:cs="仿宋"/>
          <w:bCs/>
          <w:szCs w:val="21"/>
        </w:rPr>
      </w:pPr>
      <w:r>
        <w:rPr>
          <w:rFonts w:hint="eastAsia" w:ascii="仿宋" w:hAnsi="仿宋" w:eastAsia="仿宋" w:cs="仿宋"/>
          <w:bCs/>
          <w:szCs w:val="21"/>
        </w:rPr>
        <w:t>施工主要内容：</w:t>
      </w:r>
    </w:p>
    <w:p>
      <w:pPr>
        <w:spacing w:before="120" w:after="120"/>
        <w:ind w:firstLine="105" w:firstLineChars="50"/>
        <w:rPr>
          <w:rFonts w:hint="eastAsia" w:ascii="仿宋" w:hAnsi="仿宋" w:eastAsia="仿宋" w:cs="仿宋"/>
          <w:bCs/>
          <w:szCs w:val="21"/>
        </w:rPr>
      </w:pPr>
      <w:r>
        <w:rPr>
          <w:rFonts w:hint="eastAsia" w:ascii="仿宋" w:hAnsi="仿宋" w:eastAsia="仿宋" w:cs="仿宋"/>
          <w:bCs/>
          <w:szCs w:val="21"/>
        </w:rPr>
        <w:t>一层施工：采购LED平板灯（600mm*600mm)、安装灯具并调试、铲除原有墙面（腻子）、原墙面修补裂痕并做石膏找平处理、墙面批刮腻子、墙面涂刷涂料、拆除原有防护网（窗）、现场制作暖气罩、采购并安装铝制暖气散热百叶、采购并安装天然大理石窗台板、采购并安装木制踢脚线、室内拆除（玻璃隔断及其它原有小件）、现场制作前台接待区隔断墙、会议室新做钢化玻璃隔断、更换原有玻璃隔断五金并清理原有不锈钢、设计用于创客社团办公室西墙开门洞、定制并安装创客社团办公室木门（复合门）、拆除原有室内强弱电、电箱局部改造、强电改造、弱电改造、入口门设置门禁装置、垃圾清运（校内）、材料搬运、安装调试。</w:t>
      </w:r>
    </w:p>
    <w:p>
      <w:pPr>
        <w:spacing w:before="120" w:after="120"/>
        <w:ind w:firstLine="105" w:firstLineChars="50"/>
        <w:rPr>
          <w:rFonts w:hint="eastAsia" w:ascii="仿宋" w:hAnsi="仿宋" w:eastAsia="仿宋" w:cs="仿宋"/>
          <w:bCs/>
          <w:szCs w:val="21"/>
        </w:rPr>
      </w:pPr>
      <w:r>
        <w:rPr>
          <w:rFonts w:hint="eastAsia" w:ascii="仿宋" w:hAnsi="仿宋" w:eastAsia="仿宋" w:cs="仿宋"/>
          <w:bCs/>
          <w:szCs w:val="21"/>
        </w:rPr>
        <w:t>二层施工：采购LED平板灯（600mm*600mm)、安装灯具并调试、铲除原有墙面（腻子）、原墙面修补裂痕并做石膏找平处理、墙面批刮腻子、墙面涂刷涂料、拆除原有防护网（窗）、现场制作暖气罩、采购并安装铝制暖气散热百叶、采购并安装天然大理石窗台板、采购并安装木制踢脚线、室内拆除（玻璃隔断及其它原有小件）、拆除原有木地板及踢脚线、包立柱、现场制作轻钢龙骨隔断、修复石材踏步（通楼天台）更换防盗门、数据中心及机房更换复合门、更换原有玻璃隔断五金并清理原有白锈钢、采购并安装实木复合地板、拆除原有室内强弱电、电箱局部改造、强电改造、弱电改造、入口门设置门禁装置、垃圾清运（校内）、材料搬运、安装调试。</w:t>
      </w:r>
    </w:p>
    <w:p>
      <w:pPr>
        <w:keepNext/>
        <w:keepLines/>
        <w:spacing w:beforeLines="50" w:afterLines="50" w:line="360" w:lineRule="auto"/>
        <w:outlineLvl w:val="2"/>
        <w:rPr>
          <w:rFonts w:hint="eastAsia" w:ascii="仿宋" w:hAnsi="仿宋" w:eastAsia="仿宋" w:cs="仿宋"/>
          <w:b/>
          <w:kern w:val="0"/>
          <w:szCs w:val="21"/>
        </w:rPr>
      </w:pPr>
    </w:p>
    <w:p>
      <w:pPr>
        <w:keepNext/>
        <w:keepLines/>
        <w:spacing w:beforeLines="50" w:afterLines="50" w:line="360" w:lineRule="auto"/>
        <w:outlineLvl w:val="2"/>
        <w:rPr>
          <w:rFonts w:ascii="仿宋" w:hAnsi="仿宋" w:eastAsia="仿宋" w:cs="仿宋"/>
          <w:b/>
          <w:kern w:val="0"/>
          <w:szCs w:val="21"/>
        </w:rPr>
      </w:pPr>
      <w:r>
        <w:rPr>
          <w:rFonts w:hint="eastAsia" w:ascii="仿宋" w:hAnsi="仿宋" w:eastAsia="仿宋" w:cs="仿宋"/>
          <w:b/>
          <w:kern w:val="0"/>
          <w:szCs w:val="21"/>
        </w:rPr>
        <w:t>1.3设计依据</w:t>
      </w:r>
      <w:bookmarkEnd w:id="39"/>
      <w:bookmarkEnd w:id="40"/>
    </w:p>
    <w:tbl>
      <w:tblPr>
        <w:tblStyle w:val="29"/>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2"/>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jc w:val="center"/>
              <w:rPr>
                <w:rFonts w:ascii="仿宋" w:hAnsi="仿宋" w:eastAsia="仿宋" w:cs="仿宋"/>
                <w:bCs/>
                <w:szCs w:val="21"/>
              </w:rPr>
            </w:pPr>
            <w:r>
              <w:rPr>
                <w:rFonts w:hint="eastAsia" w:ascii="仿宋" w:hAnsi="仿宋" w:eastAsia="仿宋" w:cs="仿宋"/>
                <w:bCs/>
                <w:szCs w:val="21"/>
              </w:rPr>
              <w:t>名称</w:t>
            </w:r>
          </w:p>
        </w:tc>
        <w:tc>
          <w:tcPr>
            <w:tcW w:w="3186" w:type="dxa"/>
          </w:tcPr>
          <w:p>
            <w:pPr>
              <w:spacing w:before="120" w:after="120"/>
              <w:jc w:val="center"/>
              <w:rPr>
                <w:rFonts w:ascii="仿宋" w:hAnsi="仿宋" w:eastAsia="仿宋" w:cs="仿宋"/>
                <w:bCs/>
                <w:szCs w:val="21"/>
              </w:rPr>
            </w:pPr>
            <w:r>
              <w:rPr>
                <w:rFonts w:hint="eastAsia" w:ascii="仿宋" w:hAnsi="仿宋" w:eastAsia="仿宋" w:cs="仿宋"/>
                <w:bCs/>
                <w:szCs w:val="21"/>
              </w:rPr>
              <w:t>标准、规范代号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ind w:firstLine="105" w:firstLineChars="50"/>
              <w:rPr>
                <w:rFonts w:ascii="仿宋" w:hAnsi="仿宋" w:eastAsia="仿宋" w:cs="仿宋"/>
                <w:bCs/>
                <w:szCs w:val="21"/>
              </w:rPr>
            </w:pPr>
            <w:r>
              <w:rPr>
                <w:rFonts w:hint="eastAsia" w:ascii="仿宋" w:hAnsi="仿宋" w:eastAsia="仿宋" w:cs="仿宋"/>
                <w:bCs/>
                <w:szCs w:val="21"/>
                <w:lang w:eastAsia="zh-CN"/>
              </w:rPr>
              <w:t xml:space="preserve"> 创客空间</w:t>
            </w:r>
            <w:r>
              <w:rPr>
                <w:rFonts w:hint="eastAsia" w:ascii="仿宋" w:hAnsi="仿宋" w:eastAsia="仿宋" w:cs="仿宋"/>
                <w:bCs/>
                <w:szCs w:val="21"/>
              </w:rPr>
              <w:t>家具及配套水电设施</w:t>
            </w:r>
          </w:p>
        </w:tc>
        <w:tc>
          <w:tcPr>
            <w:tcW w:w="3186" w:type="dxa"/>
          </w:tcPr>
          <w:p>
            <w:pPr>
              <w:spacing w:before="120" w:after="120"/>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《建筑电气施工质量验收规范》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50303-2002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《民用建筑电气设计规范》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JGJ/T 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《建筑设计防火规范》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50016-2006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《建筑给水排水设计规范》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50015-2003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《建筑给水聚丙烯PP-R管道工程技术规程》</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DBJ 14-BS11-2001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《建筑给水排水及采暖工程施工质量验收规范》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50242-2002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《民用建筑工程室内环境污染控制规范》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50325-2010（2013版）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ind w:firstLine="105" w:firstLineChars="50"/>
              <w:rPr>
                <w:rFonts w:ascii="仿宋" w:hAnsi="仿宋" w:eastAsia="仿宋" w:cs="仿宋"/>
                <w:bCs/>
                <w:szCs w:val="21"/>
              </w:rPr>
            </w:pPr>
            <w:r>
              <w:rPr>
                <w:rFonts w:hint="eastAsia" w:ascii="仿宋" w:hAnsi="仿宋" w:eastAsia="仿宋" w:cs="仿宋"/>
                <w:bCs/>
                <w:szCs w:val="21"/>
                <w:lang w:eastAsia="zh-CN"/>
              </w:rPr>
              <w:t xml:space="preserve"> 创客空间</w:t>
            </w:r>
            <w:r>
              <w:rPr>
                <w:rFonts w:hint="eastAsia" w:ascii="仿宋" w:hAnsi="仿宋" w:eastAsia="仿宋" w:cs="仿宋"/>
                <w:bCs/>
                <w:szCs w:val="21"/>
              </w:rPr>
              <w:t>室通风系统</w:t>
            </w:r>
          </w:p>
        </w:tc>
        <w:tc>
          <w:tcPr>
            <w:tcW w:w="3186" w:type="dxa"/>
          </w:tcPr>
          <w:p>
            <w:pPr>
              <w:spacing w:before="120" w:after="120"/>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《简明通风设计手册》</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50194-2002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《通风与空调工程施工质量验收规范》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50243-2002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《环境空气质量标准》</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3095-1996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《城市区域环境噪声标准》</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3096-93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《采暖通风与空气调节设计规范》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GB50019-2003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《建筑物电子信息系统防雷技术规范》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50343-2004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《智能建筑设计标准》</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GB/T 50314-2006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《智能建筑工程质量验收标准》</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50339-2003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《智能建筑施工及验收规范》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DG/TJ 08-601-2001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《智能建筑评估标准》</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DG/TJ 08-602-2001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《防盗报警中心控制台》</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GB/T 16572-1996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《民用建筑电线电缆防火设计规程》</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DGJ08-93-2002</w:t>
            </w:r>
          </w:p>
        </w:tc>
      </w:tr>
    </w:tbl>
    <w:p>
      <w:pPr>
        <w:spacing w:line="360" w:lineRule="auto"/>
        <w:rPr>
          <w:rFonts w:ascii="仿宋" w:hAnsi="仿宋" w:eastAsia="仿宋" w:cs="仿宋"/>
          <w:bCs/>
          <w:szCs w:val="21"/>
        </w:rPr>
      </w:pPr>
      <w:r>
        <w:rPr>
          <w:rFonts w:hint="eastAsia" w:ascii="仿宋" w:hAnsi="仿宋" w:eastAsia="仿宋" w:cs="仿宋"/>
          <w:bCs/>
          <w:szCs w:val="21"/>
        </w:rPr>
        <w:t>以上规范均采用最新版本。</w:t>
      </w:r>
    </w:p>
    <w:p>
      <w:pPr>
        <w:keepNext/>
        <w:keepLines/>
        <w:spacing w:beforeLines="50" w:afterLines="50" w:line="360" w:lineRule="auto"/>
        <w:outlineLvl w:val="2"/>
        <w:rPr>
          <w:rFonts w:hint="eastAsia" w:ascii="仿宋" w:hAnsi="仿宋" w:eastAsia="仿宋" w:cs="仿宋"/>
          <w:b/>
          <w:kern w:val="0"/>
          <w:szCs w:val="21"/>
          <w:lang w:eastAsia="zh-CN"/>
        </w:rPr>
      </w:pPr>
      <w:r>
        <w:rPr>
          <w:rFonts w:hint="eastAsia" w:ascii="仿宋" w:hAnsi="仿宋" w:eastAsia="仿宋" w:cs="仿宋"/>
          <w:b/>
          <w:kern w:val="0"/>
          <w:szCs w:val="21"/>
        </w:rPr>
        <w:t>1.4</w:t>
      </w:r>
      <w:r>
        <w:rPr>
          <w:rFonts w:hint="eastAsia" w:ascii="仿宋" w:hAnsi="仿宋" w:eastAsia="仿宋" w:cs="仿宋"/>
          <w:b/>
          <w:kern w:val="0"/>
          <w:szCs w:val="21"/>
          <w:lang w:eastAsia="zh-CN"/>
        </w:rPr>
        <w:t>工程量清单详见附件：</w:t>
      </w:r>
    </w:p>
    <w:p>
      <w:pPr>
        <w:pStyle w:val="4"/>
        <w:jc w:val="left"/>
        <w:rPr>
          <w:rFonts w:ascii="仿宋" w:hAnsi="仿宋" w:eastAsia="仿宋" w:cs="仿宋"/>
          <w:color w:val="000000" w:themeColor="text1"/>
          <w:sz w:val="21"/>
          <w:szCs w:val="21"/>
        </w:rPr>
      </w:pPr>
      <w:r>
        <w:rPr>
          <w:rFonts w:hint="eastAsia" w:ascii="仿宋" w:hAnsi="仿宋" w:eastAsia="仿宋" w:cs="仿宋"/>
          <w:sz w:val="21"/>
          <w:szCs w:val="21"/>
        </w:rPr>
        <w:t>二、</w:t>
      </w:r>
      <w:r>
        <w:rPr>
          <w:rFonts w:hint="eastAsia" w:ascii="仿宋" w:hAnsi="仿宋" w:eastAsia="仿宋" w:cs="仿宋"/>
          <w:color w:val="000000" w:themeColor="text1"/>
          <w:sz w:val="21"/>
          <w:szCs w:val="21"/>
        </w:rPr>
        <w:t>付款条件</w:t>
      </w:r>
      <w:bookmarkEnd w:id="41"/>
    </w:p>
    <w:bookmarkEnd w:id="37"/>
    <w:bookmarkEnd w:id="38"/>
    <w:p>
      <w:pPr>
        <w:pStyle w:val="3"/>
        <w:keepNext w:val="0"/>
        <w:keepLines w:val="0"/>
        <w:spacing w:before="0" w:after="0" w:line="360" w:lineRule="auto"/>
        <w:ind w:firstLine="420" w:firstLineChars="200"/>
        <w:jc w:val="both"/>
        <w:rPr>
          <w:rFonts w:ascii="仿宋" w:hAnsi="仿宋" w:eastAsia="仿宋" w:cs="仿宋"/>
          <w:bCs/>
          <w:kern w:val="2"/>
          <w:sz w:val="21"/>
          <w:szCs w:val="21"/>
        </w:rPr>
      </w:pPr>
      <w:bookmarkStart w:id="42" w:name="_Toc380479151"/>
      <w:r>
        <w:rPr>
          <w:rFonts w:hint="eastAsia" w:ascii="仿宋" w:hAnsi="仿宋" w:eastAsia="仿宋" w:cs="仿宋"/>
          <w:b w:val="0"/>
          <w:color w:val="000000" w:themeColor="text1"/>
          <w:kern w:val="2"/>
          <w:sz w:val="21"/>
          <w:szCs w:val="21"/>
        </w:rPr>
        <w:t xml:space="preserve">   本项目履约保证金为合同总价的5%，签订合同后10个工作日内，乙方向甲方支付履约保证金或保函。所有设备正常运行一年后，甲方无息退还乙方履约保证金。</w:t>
      </w:r>
    </w:p>
    <w:p>
      <w:pPr>
        <w:pStyle w:val="3"/>
        <w:spacing w:after="0" w:line="360" w:lineRule="auto"/>
        <w:jc w:val="both"/>
        <w:rPr>
          <w:rFonts w:ascii="仿宋" w:hAnsi="仿宋" w:eastAsia="仿宋" w:cs="仿宋"/>
          <w:b w:val="0"/>
          <w:color w:val="000000" w:themeColor="text1"/>
          <w:kern w:val="2"/>
          <w:sz w:val="21"/>
          <w:szCs w:val="21"/>
        </w:rPr>
      </w:pPr>
      <w:r>
        <w:rPr>
          <w:rFonts w:hint="eastAsia" w:ascii="仿宋" w:hAnsi="仿宋" w:eastAsia="仿宋" w:cs="仿宋"/>
          <w:b w:val="0"/>
          <w:color w:val="000000" w:themeColor="text1"/>
          <w:kern w:val="2"/>
          <w:sz w:val="21"/>
          <w:szCs w:val="21"/>
        </w:rPr>
        <w:t>付款方式：签订合同生效后，10个工作日内甲方支付乙方合同款的35%，</w:t>
      </w:r>
      <w:r>
        <w:rPr>
          <w:rFonts w:hint="eastAsia" w:ascii="仿宋" w:hAnsi="仿宋" w:eastAsia="仿宋" w:cs="仿宋"/>
          <w:b w:val="0"/>
          <w:color w:val="000000" w:themeColor="text1"/>
          <w:kern w:val="2"/>
          <w:sz w:val="21"/>
          <w:szCs w:val="21"/>
          <w:lang w:eastAsia="zh-CN"/>
        </w:rPr>
        <w:t xml:space="preserve"> 创客空间</w:t>
      </w:r>
      <w:r>
        <w:rPr>
          <w:rFonts w:hint="eastAsia" w:ascii="仿宋" w:hAnsi="仿宋" w:eastAsia="仿宋" w:cs="仿宋"/>
          <w:b w:val="0"/>
          <w:color w:val="000000" w:themeColor="text1"/>
          <w:kern w:val="2"/>
          <w:sz w:val="21"/>
          <w:szCs w:val="21"/>
        </w:rPr>
        <w:t>环境改造完成后支付项目款项的65%。</w:t>
      </w:r>
    </w:p>
    <w:p>
      <w:pPr>
        <w:spacing w:line="360" w:lineRule="auto"/>
        <w:jc w:val="left"/>
        <w:rPr>
          <w:rFonts w:ascii="仿宋" w:hAnsi="仿宋" w:eastAsia="仿宋" w:cs="仿宋"/>
          <w:b/>
          <w:bCs/>
          <w:color w:val="000000" w:themeColor="text1"/>
          <w:szCs w:val="21"/>
        </w:rPr>
      </w:pPr>
      <w:r>
        <w:rPr>
          <w:rFonts w:hint="eastAsia" w:ascii="仿宋" w:hAnsi="仿宋" w:eastAsia="仿宋" w:cs="仿宋"/>
          <w:b/>
          <w:bCs/>
          <w:color w:val="000000" w:themeColor="text1"/>
          <w:szCs w:val="21"/>
        </w:rPr>
        <w:t>三、技术服务（含培训）要求</w:t>
      </w:r>
    </w:p>
    <w:p>
      <w:pPr>
        <w:spacing w:line="360" w:lineRule="auto"/>
        <w:ind w:firstLine="420" w:firstLineChars="200"/>
        <w:jc w:val="left"/>
        <w:rPr>
          <w:rFonts w:ascii="仿宋" w:hAnsi="仿宋" w:eastAsia="仿宋" w:cs="仿宋"/>
          <w:b/>
          <w:bCs/>
          <w:szCs w:val="21"/>
        </w:rPr>
      </w:pPr>
      <w:r>
        <w:rPr>
          <w:rFonts w:hint="eastAsia" w:ascii="仿宋" w:hAnsi="仿宋" w:eastAsia="仿宋" w:cs="仿宋"/>
          <w:szCs w:val="21"/>
          <w:lang w:eastAsia="zh-CN"/>
        </w:rPr>
        <w:t xml:space="preserve"> 创客空间</w:t>
      </w:r>
      <w:r>
        <w:rPr>
          <w:rFonts w:hint="eastAsia" w:ascii="仿宋" w:hAnsi="仿宋" w:eastAsia="仿宋" w:cs="仿宋"/>
          <w:szCs w:val="21"/>
        </w:rPr>
        <w:t>环境应达到使用要求，包括气体安全预警功能、</w:t>
      </w:r>
      <w:r>
        <w:rPr>
          <w:rFonts w:hint="eastAsia" w:ascii="仿宋" w:hAnsi="仿宋" w:eastAsia="仿宋" w:cs="仿宋"/>
          <w:szCs w:val="21"/>
          <w:lang w:eastAsia="zh-CN"/>
        </w:rPr>
        <w:t xml:space="preserve"> 创客空间</w:t>
      </w:r>
      <w:r>
        <w:rPr>
          <w:rFonts w:hint="eastAsia" w:ascii="仿宋" w:hAnsi="仿宋" w:eastAsia="仿宋" w:cs="仿宋"/>
          <w:szCs w:val="21"/>
        </w:rPr>
        <w:t>室安全管控功能、</w:t>
      </w:r>
      <w:r>
        <w:rPr>
          <w:rFonts w:hint="eastAsia" w:ascii="仿宋" w:hAnsi="仿宋" w:eastAsia="仿宋" w:cs="仿宋"/>
          <w:szCs w:val="21"/>
          <w:lang w:eastAsia="zh-CN"/>
        </w:rPr>
        <w:t xml:space="preserve"> 创客空间</w:t>
      </w:r>
      <w:r>
        <w:rPr>
          <w:rFonts w:hint="eastAsia" w:ascii="仿宋" w:hAnsi="仿宋" w:eastAsia="仿宋" w:cs="仿宋"/>
          <w:szCs w:val="21"/>
        </w:rPr>
        <w:t>室智能分区管理功能、</w:t>
      </w:r>
      <w:r>
        <w:rPr>
          <w:rFonts w:hint="eastAsia" w:ascii="仿宋" w:hAnsi="仿宋" w:eastAsia="仿宋" w:cs="仿宋"/>
          <w:szCs w:val="21"/>
          <w:lang w:eastAsia="zh-CN"/>
        </w:rPr>
        <w:t xml:space="preserve"> 创客空间</w:t>
      </w:r>
      <w:r>
        <w:rPr>
          <w:rFonts w:hint="eastAsia" w:ascii="仿宋" w:hAnsi="仿宋" w:eastAsia="仿宋" w:cs="仿宋"/>
          <w:szCs w:val="21"/>
        </w:rPr>
        <w:t>室新风系统满足仪器使用要求、</w:t>
      </w:r>
      <w:r>
        <w:rPr>
          <w:rFonts w:hint="eastAsia" w:ascii="仿宋" w:hAnsi="仿宋" w:eastAsia="仿宋" w:cs="仿宋"/>
          <w:szCs w:val="21"/>
          <w:lang w:eastAsia="zh-CN"/>
        </w:rPr>
        <w:t xml:space="preserve"> 创客空间</w:t>
      </w:r>
      <w:r>
        <w:rPr>
          <w:rFonts w:hint="eastAsia" w:ascii="仿宋" w:hAnsi="仿宋" w:eastAsia="仿宋" w:cs="仿宋"/>
          <w:szCs w:val="21"/>
        </w:rPr>
        <w:t>室地面工程满足仪器使用要求等，且改造完成时间不超过2个月。</w:t>
      </w:r>
    </w:p>
    <w:p>
      <w:pPr>
        <w:spacing w:line="360" w:lineRule="auto"/>
        <w:jc w:val="left"/>
        <w:rPr>
          <w:rFonts w:ascii="仿宋" w:hAnsi="仿宋" w:eastAsia="仿宋" w:cs="仿宋"/>
          <w:b/>
          <w:bCs/>
          <w:color w:val="000000" w:themeColor="text1"/>
          <w:szCs w:val="21"/>
        </w:rPr>
      </w:pPr>
      <w:r>
        <w:rPr>
          <w:rFonts w:hint="eastAsia" w:ascii="仿宋" w:hAnsi="仿宋" w:eastAsia="仿宋" w:cs="仿宋"/>
          <w:b/>
          <w:bCs/>
          <w:color w:val="000000" w:themeColor="text1"/>
          <w:szCs w:val="21"/>
        </w:rPr>
        <w:t>四、售后服务要求</w:t>
      </w:r>
    </w:p>
    <w:p>
      <w:pPr>
        <w:spacing w:line="360" w:lineRule="auto"/>
        <w:ind w:firstLine="420" w:firstLineChars="200"/>
        <w:jc w:val="left"/>
        <w:rPr>
          <w:rFonts w:ascii="仿宋" w:hAnsi="仿宋" w:eastAsia="仿宋" w:cs="仿宋"/>
          <w:b/>
          <w:bCs/>
          <w:color w:val="000000" w:themeColor="text1"/>
          <w:szCs w:val="21"/>
        </w:rPr>
      </w:pPr>
      <w:r>
        <w:rPr>
          <w:rFonts w:hint="eastAsia" w:ascii="仿宋" w:hAnsi="仿宋" w:eastAsia="仿宋" w:cs="仿宋"/>
          <w:color w:val="000000" w:themeColor="text1"/>
          <w:szCs w:val="21"/>
          <w:lang w:eastAsia="zh-CN"/>
        </w:rPr>
        <w:t xml:space="preserve"> 创客空间</w:t>
      </w:r>
      <w:r>
        <w:rPr>
          <w:rFonts w:hint="eastAsia" w:ascii="仿宋" w:hAnsi="仿宋" w:eastAsia="仿宋" w:cs="仿宋"/>
          <w:color w:val="000000" w:themeColor="text1"/>
          <w:szCs w:val="21"/>
        </w:rPr>
        <w:t>环境改造后出现的电路、</w:t>
      </w:r>
      <w:r>
        <w:rPr>
          <w:rFonts w:hint="eastAsia" w:ascii="仿宋" w:hAnsi="仿宋" w:eastAsia="仿宋" w:cs="仿宋"/>
          <w:color w:val="000000" w:themeColor="text1"/>
          <w:szCs w:val="21"/>
          <w:lang w:eastAsia="zh-CN"/>
        </w:rPr>
        <w:t>门禁</w:t>
      </w:r>
      <w:r>
        <w:rPr>
          <w:rFonts w:hint="eastAsia" w:ascii="仿宋" w:hAnsi="仿宋" w:eastAsia="仿宋" w:cs="仿宋"/>
          <w:color w:val="000000" w:themeColor="text1"/>
          <w:szCs w:val="21"/>
        </w:rPr>
        <w:t>等改造问题，需提供售后24小时内的相应服务。</w:t>
      </w:r>
    </w:p>
    <w:p>
      <w:pPr>
        <w:spacing w:line="360" w:lineRule="auto"/>
        <w:jc w:val="left"/>
        <w:rPr>
          <w:rFonts w:ascii="仿宋" w:hAnsi="仿宋" w:eastAsia="仿宋" w:cs="仿宋"/>
          <w:b/>
          <w:bCs/>
          <w:color w:val="000000" w:themeColor="text1"/>
          <w:szCs w:val="21"/>
        </w:rPr>
      </w:pPr>
      <w:r>
        <w:rPr>
          <w:rFonts w:hint="eastAsia" w:ascii="仿宋" w:hAnsi="仿宋" w:eastAsia="仿宋" w:cs="仿宋"/>
          <w:b/>
          <w:bCs/>
          <w:color w:val="000000" w:themeColor="text1"/>
          <w:szCs w:val="21"/>
        </w:rPr>
        <w:t>五、验收标准和方法</w:t>
      </w:r>
    </w:p>
    <w:p>
      <w:pPr>
        <w:spacing w:line="360" w:lineRule="auto"/>
        <w:ind w:firstLine="420" w:firstLineChars="200"/>
        <w:jc w:val="left"/>
        <w:rPr>
          <w:rFonts w:ascii="仿宋" w:hAnsi="仿宋" w:eastAsia="仿宋" w:cs="仿宋"/>
          <w:b/>
          <w:bCs/>
          <w:color w:val="000000" w:themeColor="text1"/>
          <w:szCs w:val="21"/>
        </w:rPr>
      </w:pPr>
      <w:r>
        <w:rPr>
          <w:rFonts w:hint="eastAsia" w:ascii="仿宋" w:hAnsi="仿宋" w:eastAsia="仿宋" w:cs="仿宋"/>
          <w:color w:val="000000" w:themeColor="text1"/>
          <w:szCs w:val="21"/>
        </w:rPr>
        <w:t>在2个月的规定时间内完成</w:t>
      </w:r>
      <w:r>
        <w:rPr>
          <w:rFonts w:hint="eastAsia" w:ascii="仿宋" w:hAnsi="仿宋" w:eastAsia="仿宋" w:cs="仿宋"/>
          <w:color w:val="000000" w:themeColor="text1"/>
          <w:szCs w:val="21"/>
          <w:lang w:eastAsia="zh-CN"/>
        </w:rPr>
        <w:t xml:space="preserve"> 创客空间</w:t>
      </w:r>
      <w:r>
        <w:rPr>
          <w:rFonts w:hint="eastAsia" w:ascii="仿宋" w:hAnsi="仿宋" w:eastAsia="仿宋" w:cs="仿宋"/>
          <w:color w:val="000000" w:themeColor="text1"/>
          <w:szCs w:val="21"/>
        </w:rPr>
        <w:t>环境改造并达到</w:t>
      </w:r>
      <w:r>
        <w:rPr>
          <w:rFonts w:hint="eastAsia" w:ascii="仿宋" w:hAnsi="仿宋" w:eastAsia="仿宋" w:cs="仿宋"/>
          <w:color w:val="000000" w:themeColor="text1"/>
          <w:szCs w:val="21"/>
          <w:lang w:eastAsia="zh-CN"/>
        </w:rPr>
        <w:t xml:space="preserve">  </w:t>
      </w:r>
      <w:r>
        <w:rPr>
          <w:rFonts w:hint="eastAsia" w:ascii="仿宋" w:hAnsi="仿宋" w:eastAsia="仿宋" w:cs="仿宋"/>
          <w:color w:val="000000" w:themeColor="text1"/>
          <w:szCs w:val="21"/>
        </w:rPr>
        <w:t>的使用要求。验收由校内3位以上专家共同评审。</w:t>
      </w:r>
    </w:p>
    <w:p>
      <w:pPr>
        <w:spacing w:line="360" w:lineRule="auto"/>
        <w:jc w:val="left"/>
        <w:rPr>
          <w:rFonts w:ascii="仿宋" w:hAnsi="仿宋" w:eastAsia="仿宋" w:cs="仿宋"/>
          <w:b/>
          <w:bCs/>
          <w:color w:val="000000" w:themeColor="text1"/>
          <w:szCs w:val="21"/>
        </w:rPr>
      </w:pPr>
      <w:r>
        <w:rPr>
          <w:rFonts w:hint="eastAsia" w:ascii="仿宋" w:hAnsi="仿宋" w:eastAsia="仿宋" w:cs="仿宋"/>
          <w:b/>
          <w:bCs/>
          <w:color w:val="000000" w:themeColor="text1"/>
          <w:szCs w:val="21"/>
        </w:rPr>
        <w:t>六、维保条款</w:t>
      </w:r>
    </w:p>
    <w:p>
      <w:pPr>
        <w:pStyle w:val="3"/>
        <w:keepNext w:val="0"/>
        <w:keepLines w:val="0"/>
        <w:spacing w:before="0" w:after="0" w:line="360" w:lineRule="auto"/>
        <w:jc w:val="left"/>
        <w:rPr>
          <w:rFonts w:ascii="仿宋" w:hAnsi="仿宋" w:eastAsia="仿宋" w:cs="仿宋"/>
          <w:b w:val="0"/>
          <w:color w:val="000000" w:themeColor="text1"/>
          <w:kern w:val="2"/>
          <w:sz w:val="21"/>
          <w:szCs w:val="21"/>
        </w:rPr>
      </w:pPr>
      <w:r>
        <w:rPr>
          <w:rFonts w:hint="eastAsia" w:ascii="仿宋" w:hAnsi="仿宋" w:eastAsia="仿宋" w:cs="仿宋"/>
          <w:b w:val="0"/>
          <w:color w:val="000000" w:themeColor="text1"/>
          <w:kern w:val="2"/>
          <w:sz w:val="21"/>
          <w:szCs w:val="21"/>
        </w:rPr>
        <w:t>在保证期内，非甲方或第三方原因，乙方改造的环境出现问题或存在缺陷，乙方应负责更换维修。</w:t>
      </w:r>
    </w:p>
    <w:p>
      <w:pPr>
        <w:spacing w:line="360" w:lineRule="auto"/>
        <w:jc w:val="left"/>
        <w:rPr>
          <w:rFonts w:ascii="仿宋" w:hAnsi="仿宋" w:eastAsia="仿宋" w:cs="仿宋"/>
          <w:b/>
          <w:bCs/>
          <w:szCs w:val="21"/>
        </w:rPr>
      </w:pPr>
      <w:r>
        <w:rPr>
          <w:rFonts w:hint="eastAsia" w:ascii="仿宋" w:hAnsi="仿宋" w:eastAsia="仿宋" w:cs="仿宋"/>
          <w:b/>
          <w:bCs/>
          <w:szCs w:val="21"/>
        </w:rPr>
        <w:t>七、临时占地：</w:t>
      </w:r>
    </w:p>
    <w:p>
      <w:pPr>
        <w:spacing w:line="360" w:lineRule="auto"/>
        <w:jc w:val="left"/>
        <w:rPr>
          <w:rFonts w:ascii="仿宋" w:hAnsi="仿宋" w:eastAsia="仿宋" w:cs="仿宋"/>
          <w:szCs w:val="21"/>
        </w:rPr>
      </w:pPr>
      <w:r>
        <w:rPr>
          <w:rFonts w:hint="eastAsia" w:ascii="仿宋" w:hAnsi="仿宋" w:eastAsia="仿宋" w:cs="仿宋"/>
          <w:szCs w:val="21"/>
          <w:u w:val="single"/>
        </w:rPr>
        <w:t>本施工现场围墙以内包括工程的永久占地和临时性租地均可作为承包人为实施本合同工程需要临时占地的免费使用范围；如果工程现场用于临设或仓储等临时工程的用地不能满足承包人就本工程组织施工的要求，包括项目实施过程中随着工程的实施进度，部分临时工程需要进行拆移，而现场的临时占地不能满足实际需要时，承包人应考虑场外租地作为为实施本合同工程需要的临时占地，承包人合理租地的费用应在其投标书中已经作充分考虑，包含在合同价中。承包人应保证发包人免于任何与承包人使用此类租地相关的索赔、损失或损害，除此之外，承包人不得非法使用任何现场边界以外的土地，非法侵用或侵占的后果完全由承包人负责</w:t>
      </w:r>
    </w:p>
    <w:p>
      <w:pPr>
        <w:spacing w:line="360" w:lineRule="auto"/>
        <w:jc w:val="left"/>
        <w:rPr>
          <w:rFonts w:ascii="仿宋" w:hAnsi="仿宋" w:eastAsia="仿宋" w:cs="仿宋"/>
          <w:b/>
          <w:bCs/>
          <w:szCs w:val="21"/>
        </w:rPr>
      </w:pPr>
      <w:r>
        <w:rPr>
          <w:rFonts w:hint="eastAsia" w:ascii="仿宋" w:hAnsi="仿宋" w:eastAsia="仿宋" w:cs="仿宋"/>
          <w:b/>
          <w:bCs/>
          <w:szCs w:val="21"/>
        </w:rPr>
        <w:t>八、承包人提供的文件</w:t>
      </w:r>
    </w:p>
    <w:p>
      <w:pPr>
        <w:spacing w:line="360" w:lineRule="auto"/>
        <w:ind w:firstLine="315" w:firstLineChars="150"/>
        <w:rPr>
          <w:rFonts w:ascii="仿宋" w:hAnsi="仿宋" w:eastAsia="仿宋" w:cs="仿宋"/>
          <w:szCs w:val="21"/>
          <w:u w:val="single"/>
        </w:rPr>
      </w:pPr>
      <w:r>
        <w:rPr>
          <w:rFonts w:hint="eastAsia" w:ascii="仿宋" w:hAnsi="仿宋" w:eastAsia="仿宋" w:cs="仿宋"/>
          <w:szCs w:val="21"/>
        </w:rPr>
        <w:t>（1）由承包人提供的文件范围：</w:t>
      </w:r>
      <w:r>
        <w:rPr>
          <w:rFonts w:hint="eastAsia" w:ascii="仿宋" w:hAnsi="仿宋" w:eastAsia="仿宋" w:cs="仿宋"/>
          <w:szCs w:val="21"/>
          <w:u w:val="single"/>
        </w:rPr>
        <w:t>根据本项目实际情况调整后的施工组织设计及材料设备招标采购计划等。承包人所提交的施工组织设计不能低于承包人在投标施工方案内所说明的所有工程内容和承诺的标准，因承包人提交的施工方案不能通过监理工程师审查而造成工期延误，承包人自行承担。施工组织设计应包括设备材料、成品、半成品等供应进场计划，人员安排、质保体系、安全文明施工措施、施工机械设备配置情况，以及施工现场优化布置等内容。特别提出，该施工组织设计应包含一份详细、完整的施工总进度计划，但对于发包人明确不得拖延的阶段性施工目标不得擅自更改（合同已明确规定需延期或非承包人原因影响的除外）。如工程发生较大调整或发包人和监理人明确要求需要提交时，承包人应在3日内或按发包人和监理人要求，将最新的施工总进度计划提交发包人和监理人。</w:t>
      </w:r>
    </w:p>
    <w:p>
      <w:pPr>
        <w:spacing w:line="360" w:lineRule="auto"/>
        <w:rPr>
          <w:rFonts w:ascii="仿宋" w:hAnsi="仿宋" w:eastAsia="仿宋" w:cs="仿宋"/>
          <w:b/>
          <w:bCs/>
          <w:szCs w:val="21"/>
        </w:rPr>
      </w:pPr>
      <w:r>
        <w:rPr>
          <w:rFonts w:hint="eastAsia" w:ascii="仿宋" w:hAnsi="仿宋" w:eastAsia="仿宋" w:cs="仿宋"/>
          <w:b/>
          <w:bCs/>
          <w:szCs w:val="21"/>
        </w:rPr>
        <w:t>九、承包人应履行的其他义务：</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1）关于扬尘治理义务</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a.承包人应通过有效的技术手段和管理措施将施工产生的扬尘控制在相关指标范围内。确保工地沙土覆盖、工地路面硬化、出工地车辆冲洗车轮、拆除房屋的工地洒水压尘、垃圾分类密闭存放，并保证渣土运输车辆符合相关规定要求。</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b.承包人应在施工期间加强环保意识、保持工地清洁、控制扬尘、杜绝漏洒材料，使得施工现场及周围无扬尘污染。</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2）承包人应就发包人所提供的施工场地情况、各类隐蔽管线、设施资料进行详细核对，落实并据此制定相应的施工方案。</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3）发包人发包专业工程所涉及的后续洞口完善、补洞、开洞、堵洞、收口等工作均由承包人负责实施。</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4）承担施工安全保卫工作及施工照明的责任和要求：承包方应按建设行政管理部门和相关部门的要求，自费承担这些工作（如现场警卫和按发包人要求设置的施工现场视频监控系统）和提供相应设施（如护板、围栏等），以保护公共安全，并提供方便。承包方需制订安全措施的方面包括：各类临时支撑体系，各类脚手架和作业平台，临时用电系统和电动机具、设备，现场消防安全，现场周边环境安全等。如因承包方原因未履行条款中约定义务造成工程财产损失，由承包方承担责任和损失。</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5）绿色施工管理要求：承包方按照DB11/513-2008《绿色施工管理规程》和发包人书面提出的绿色施工要求执行。</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6）发包人支付给承包人的工程款，承包人应专款专用。发包人有权对支付给承包人的工程价款的到位、管理、使用以及其他有关情况进行检查，必要时可查阅承包人财务报表、账簿、凭证等资料，承包人有义务予以配合并如实提供相关资料和情况。检查中发现的问题，承包人应立即进行纠正。</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7）承包人负责组织竣工验收前所有系统的联合调试。</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8）承包人应服从物业单位管理，并按规定办理</w:t>
      </w:r>
      <w:r>
        <w:rPr>
          <w:rFonts w:hint="eastAsia" w:ascii="仿宋" w:hAnsi="仿宋" w:eastAsia="仿宋" w:cs="仿宋"/>
          <w:szCs w:val="21"/>
          <w:u w:val="single"/>
          <w:lang w:eastAsia="zh-CN"/>
        </w:rPr>
        <w:t xml:space="preserve"> 创客空间</w:t>
      </w:r>
      <w:r>
        <w:rPr>
          <w:rFonts w:hint="eastAsia" w:ascii="仿宋" w:hAnsi="仿宋" w:eastAsia="仿宋" w:cs="仿宋"/>
          <w:szCs w:val="21"/>
          <w:u w:val="single"/>
        </w:rPr>
        <w:t>室装修手续并承担相关装修管理费用。承包人自行承担因向政府有关部门办理开工等手续而应缴纳的费用，该费用已包含在合同价内。</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9）在涉及或关系到本工程的任何事项上，无论这些事项在合同中是否写明 ，承包人都要严格遵守和执行发包人和监理人按照合同发出的指令。</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10）承包人应明白并在其投标价内考虑到工地上可能会有其他施工单位，而承包人所使用的工作面或空间将不会由承包人独自使用，而是与其他施工单位配合使用。任何因忽视此条款而引起的索偿或工期延长均不会获考虑。承包人在本工程施工过程中，应与其他施工单位充分配合，承包人与其他施工单位所发生的任何纠纷均不得影响本工程工期延误，否则承包人应承担工期延误责任，给发包人造成损失，发包人都有权要求赔偿。</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11）承包人应当为完成合同而设置合理可行的现场组织机构并为此雇佣在各自行业或职业内具有足够经验、认真负责和精干称职的管理人员。但是，除非事先获得对方同意，承包人不应从为发包人、监理人、设计人服务的人员中招收或试图招收职员和工人。</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除非事先获取发包人的书面批准，承包人不得更换或撤回项目经理、其他主要管理人员。如因项目经理、其他主要管理人员辞职等原因导致出现人员变更情况，承包人应提出不少于三名同等条件的备选人员供发包人选择。</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承包人必须按本合同组织施工，项目技术负责人、安全负责人、质检员在所辖工程或分项工程施工期间（包括准备和收尾阶段），均须专职在岗，不得兼任其他项目 任何职务。</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如需对人员安排、机械设备、施工方案等变更，必须提前 7 日以书面形式上报监理人、项目管理人、发包人并经同意后方可执行，否则，承包人每违约一项（或一人），需支付违约金 2000 元。未经发包人同意，擅自更换项目经理的，则承包人需向发包人支付违约金10万元。</w:t>
      </w:r>
    </w:p>
    <w:p>
      <w:pPr>
        <w:pStyle w:val="14"/>
        <w:spacing w:line="360" w:lineRule="auto"/>
        <w:ind w:firstLine="420" w:firstLineChars="200"/>
        <w:rPr>
          <w:rFonts w:ascii="仿宋" w:hAnsi="仿宋" w:eastAsia="仿宋" w:cs="仿宋"/>
          <w:sz w:val="21"/>
          <w:szCs w:val="21"/>
        </w:rPr>
      </w:pPr>
      <w:r>
        <w:rPr>
          <w:rFonts w:hint="eastAsia" w:ascii="仿宋" w:hAnsi="仿宋" w:eastAsia="仿宋" w:cs="仿宋"/>
          <w:kern w:val="2"/>
          <w:sz w:val="21"/>
          <w:szCs w:val="21"/>
          <w:u w:val="single"/>
        </w:rPr>
        <w:t>对达不到以下要求的施工人员，发包人或项目管理公司有权要求承包人更换：① 对施工进度及质量达不到合同要求负有责任的施工人员；② 专业水平达不到岗位要求、工作责任心不强的施工人员；③ 不能积极配合发包人及监理人正常工作者；④ 违反发包人或者承包人工地现场管理规定者；⑤ 无证上岗者（适用于按规定必须有上岗证）；⑥ 与本合同规定名册不符者；⑦ 与本工程施工无关的人员</w:t>
      </w:r>
      <w:r>
        <w:rPr>
          <w:rFonts w:hint="eastAsia" w:ascii="仿宋" w:hAnsi="仿宋" w:eastAsia="仿宋" w:cs="仿宋"/>
          <w:kern w:val="2"/>
          <w:sz w:val="21"/>
          <w:szCs w:val="21"/>
          <w:u w:val="single"/>
        </w:rPr>
        <w:fldChar w:fldCharType="begin"/>
      </w:r>
      <w:r>
        <w:rPr>
          <w:rFonts w:hint="eastAsia" w:ascii="仿宋" w:hAnsi="仿宋" w:eastAsia="仿宋" w:cs="仿宋"/>
          <w:kern w:val="2"/>
          <w:sz w:val="21"/>
          <w:szCs w:val="21"/>
          <w:u w:val="single"/>
        </w:rPr>
        <w:instrText xml:space="preserve"> = 8 \* GB3 </w:instrText>
      </w:r>
      <w:r>
        <w:rPr>
          <w:rFonts w:hint="eastAsia" w:ascii="仿宋" w:hAnsi="仿宋" w:eastAsia="仿宋" w:cs="仿宋"/>
          <w:kern w:val="2"/>
          <w:sz w:val="21"/>
          <w:szCs w:val="21"/>
          <w:u w:val="single"/>
        </w:rPr>
        <w:fldChar w:fldCharType="separate"/>
      </w:r>
      <w:r>
        <w:rPr>
          <w:rFonts w:hint="eastAsia" w:ascii="仿宋" w:hAnsi="仿宋" w:eastAsia="仿宋" w:cs="仿宋"/>
          <w:kern w:val="2"/>
          <w:sz w:val="21"/>
          <w:szCs w:val="21"/>
          <w:u w:val="single"/>
        </w:rPr>
        <w:t>⑧</w:t>
      </w:r>
      <w:r>
        <w:rPr>
          <w:rFonts w:hint="eastAsia" w:ascii="仿宋" w:hAnsi="仿宋" w:eastAsia="仿宋" w:cs="仿宋"/>
          <w:kern w:val="2"/>
          <w:sz w:val="21"/>
          <w:szCs w:val="21"/>
          <w:u w:val="single"/>
        </w:rPr>
        <w:fldChar w:fldCharType="end"/>
      </w:r>
      <w:r>
        <w:rPr>
          <w:rFonts w:hint="eastAsia" w:ascii="仿宋" w:hAnsi="仿宋" w:eastAsia="仿宋" w:cs="仿宋"/>
          <w:kern w:val="2"/>
          <w:sz w:val="21"/>
          <w:szCs w:val="21"/>
          <w:u w:val="single"/>
        </w:rPr>
        <w:t>发包人或项目管理公司认定的其他情形。</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12）除非合同中另有约定，承包人应自行安排从当地或其他地方雇佣所有职员和劳务人员，并支付他们的报酬、住宿、膳食和交通遣返。</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13）承包人应对发包人提供的勘测基准点进行复核（包括但不限于委托具备专业资质的相关单位在整个工程实施过程中进行的现场规划放线、验线及竣工测绘等工作），相关费用包含在投标报价中，招标人不再单独支付。</w:t>
      </w:r>
    </w:p>
    <w:p>
      <w:pPr>
        <w:pStyle w:val="2"/>
        <w:kinsoku w:val="0"/>
        <w:overflowPunct w:val="0"/>
        <w:spacing w:before="32" w:line="309" w:lineRule="auto"/>
        <w:ind w:right="219" w:firstLine="422"/>
        <w:rPr>
          <w:rFonts w:ascii="仿宋" w:hAnsi="仿宋" w:eastAsia="仿宋" w:cs="仿宋"/>
          <w:kern w:val="2"/>
          <w:sz w:val="21"/>
          <w:szCs w:val="21"/>
          <w:u w:val="single"/>
        </w:rPr>
      </w:pPr>
      <w:r>
        <w:rPr>
          <w:rFonts w:hint="eastAsia" w:ascii="仿宋" w:hAnsi="仿宋" w:eastAsia="仿宋" w:cs="仿宋"/>
          <w:kern w:val="2"/>
          <w:sz w:val="21"/>
          <w:szCs w:val="21"/>
          <w:u w:val="single"/>
        </w:rPr>
        <w:t>14)开工前承包人应对施工图纸认真核查，积极配合发包人组织的施工图纸交底及会审 工作。承包人应在拿到施工图 7 天内书面提出图纸上有悖国家强制性法律法规、施工质量与 安全规范、标准之处，并做好各系统管线的综合平衡工作；如发包人提供的图纸、资料不完整，承包人应在该项工程或分项工程开工前 7 日之前向发包人提出补充图纸及资料的使用时间表。</w:t>
      </w:r>
    </w:p>
    <w:p>
      <w:pPr>
        <w:pStyle w:val="2"/>
        <w:kinsoku w:val="0"/>
        <w:overflowPunct w:val="0"/>
        <w:spacing w:before="88" w:line="310" w:lineRule="auto"/>
        <w:ind w:right="117" w:firstLine="422"/>
        <w:rPr>
          <w:rFonts w:ascii="仿宋" w:hAnsi="仿宋" w:eastAsia="仿宋" w:cs="仿宋"/>
          <w:kern w:val="2"/>
          <w:sz w:val="21"/>
          <w:szCs w:val="21"/>
          <w:u w:val="single"/>
        </w:rPr>
      </w:pPr>
      <w:r>
        <w:rPr>
          <w:rFonts w:hint="eastAsia" w:ascii="仿宋" w:hAnsi="仿宋" w:eastAsia="仿宋" w:cs="仿宋"/>
          <w:kern w:val="2"/>
          <w:sz w:val="21"/>
          <w:szCs w:val="21"/>
          <w:u w:val="single"/>
        </w:rPr>
        <w:t>15）已完工程和未拆除工程的成品保护的要求及费用承担：本工程在竣工验收前，由承包人负责采取措施保护。保护费用已包括在承包人的投标报价中。验收合格前发生损坏，承包人自费予以修复。</w:t>
      </w:r>
    </w:p>
    <w:p>
      <w:pPr>
        <w:pStyle w:val="2"/>
        <w:kinsoku w:val="0"/>
        <w:overflowPunct w:val="0"/>
        <w:spacing w:before="27" w:line="312" w:lineRule="auto"/>
        <w:ind w:right="202" w:firstLine="422"/>
        <w:rPr>
          <w:rFonts w:ascii="仿宋" w:hAnsi="仿宋" w:eastAsia="仿宋" w:cs="仿宋"/>
          <w:kern w:val="2"/>
          <w:sz w:val="21"/>
          <w:szCs w:val="21"/>
          <w:u w:val="single"/>
        </w:rPr>
      </w:pPr>
      <w:r>
        <w:rPr>
          <w:rFonts w:hint="eastAsia" w:ascii="仿宋" w:hAnsi="仿宋" w:eastAsia="仿宋" w:cs="仿宋"/>
          <w:kern w:val="2"/>
          <w:sz w:val="21"/>
          <w:szCs w:val="21"/>
          <w:u w:val="single"/>
        </w:rPr>
        <w:t xml:space="preserve">16）承包人对竣工验收后保修期内发现的因承包人原因造成的工程质量问题负责免费返修，对造成的直接损失与间接损失负责全部赔偿。 </w:t>
      </w:r>
    </w:p>
    <w:p>
      <w:pPr>
        <w:pStyle w:val="2"/>
        <w:kinsoku w:val="0"/>
        <w:overflowPunct w:val="0"/>
        <w:spacing w:before="25" w:line="310" w:lineRule="auto"/>
        <w:ind w:right="202" w:firstLine="422"/>
        <w:rPr>
          <w:rFonts w:ascii="仿宋" w:hAnsi="仿宋" w:eastAsia="仿宋" w:cs="仿宋"/>
          <w:kern w:val="2"/>
          <w:sz w:val="21"/>
          <w:szCs w:val="21"/>
          <w:u w:val="single"/>
        </w:rPr>
      </w:pPr>
      <w:r>
        <w:rPr>
          <w:rFonts w:hint="eastAsia" w:ascii="仿宋" w:hAnsi="仿宋" w:eastAsia="仿宋" w:cs="仿宋"/>
          <w:kern w:val="2"/>
          <w:sz w:val="21"/>
          <w:szCs w:val="21"/>
          <w:u w:val="single"/>
        </w:rPr>
        <w:t>17）除非合同文件中另有约定，从工程开工日期起直至颁发整个工程的竣工验收证书日期止，承包人应对工程以及材料和待安装的工程设备等的照管付完全责任。这种照管的责任应随工程一起移交给发包人。承包人还应对移交后发生的，由承包人负责的以前的事件引起的损失或损害负责。</w:t>
      </w:r>
    </w:p>
    <w:p>
      <w:pPr>
        <w:pStyle w:val="2"/>
        <w:kinsoku w:val="0"/>
        <w:overflowPunct w:val="0"/>
        <w:spacing w:before="27" w:line="310" w:lineRule="auto"/>
        <w:ind w:right="198" w:firstLine="422"/>
        <w:rPr>
          <w:rFonts w:ascii="仿宋" w:hAnsi="仿宋" w:eastAsia="仿宋" w:cs="仿宋"/>
          <w:kern w:val="2"/>
          <w:sz w:val="21"/>
          <w:szCs w:val="21"/>
          <w:u w:val="single"/>
        </w:rPr>
      </w:pPr>
      <w:r>
        <w:rPr>
          <w:rFonts w:hint="eastAsia" w:ascii="仿宋" w:hAnsi="仿宋" w:eastAsia="仿宋" w:cs="仿宋"/>
          <w:kern w:val="2"/>
          <w:sz w:val="21"/>
          <w:szCs w:val="21"/>
          <w:u w:val="single"/>
        </w:rPr>
        <w:t>18)承包人负责工地现场临时设施、道路、管线的施工和保养，从发包人指定的水电接驳点接驳施工用水用电；无论发包人是否就施工现场各类隐蔽管线、设施提供资料或所提供资料是否齐全，承包人须独立尽职调查包括向有关的部门、管线监管部门调查、现场详细勘查等并获得全部资料，承包人应对发包人提供的管网线路资料，进行必要的进一步勘查，确保不破坏管网、临近建筑物及设施，并自行承担勘查费用，并有义务采取措施避免工程施工对周围管线、临近建筑物及设施造成破坏，如果承包人破坏，承包人将承担其全部责任及相关的经济赔偿；如果为保证本工程室外工程顺利进行，发包人有权要求承包人拆除影响室外工程的临时设施，承包人应无条件同意并配合，且不收取任何费用。</w:t>
      </w:r>
    </w:p>
    <w:p>
      <w:pPr>
        <w:pStyle w:val="2"/>
        <w:kinsoku w:val="0"/>
        <w:overflowPunct w:val="0"/>
        <w:spacing w:before="27" w:line="308" w:lineRule="auto"/>
        <w:ind w:right="202" w:firstLine="422"/>
        <w:rPr>
          <w:rFonts w:ascii="仿宋" w:hAnsi="仿宋" w:eastAsia="仿宋" w:cs="仿宋"/>
          <w:kern w:val="2"/>
          <w:sz w:val="21"/>
          <w:szCs w:val="21"/>
          <w:u w:val="single"/>
        </w:rPr>
      </w:pPr>
      <w:r>
        <w:rPr>
          <w:rFonts w:hint="eastAsia" w:ascii="仿宋" w:hAnsi="仿宋" w:eastAsia="仿宋" w:cs="仿宋"/>
          <w:kern w:val="2"/>
          <w:sz w:val="21"/>
          <w:szCs w:val="21"/>
          <w:u w:val="single"/>
        </w:rPr>
        <w:t>19）承包人应承担在施工中因承包人原因发生的停工、返工、材料及物件的倒运、机械二次进场等所造成的损失 。</w:t>
      </w:r>
    </w:p>
    <w:p>
      <w:pPr>
        <w:pStyle w:val="2"/>
        <w:kinsoku w:val="0"/>
        <w:overflowPunct w:val="0"/>
        <w:spacing w:before="33" w:line="309" w:lineRule="auto"/>
        <w:ind w:right="198" w:firstLine="422"/>
        <w:rPr>
          <w:rFonts w:ascii="仿宋" w:hAnsi="仿宋" w:eastAsia="仿宋" w:cs="仿宋"/>
          <w:kern w:val="2"/>
          <w:sz w:val="21"/>
          <w:szCs w:val="21"/>
          <w:u w:val="single"/>
        </w:rPr>
      </w:pPr>
      <w:r>
        <w:rPr>
          <w:rFonts w:hint="eastAsia" w:ascii="仿宋" w:hAnsi="仿宋" w:eastAsia="仿宋" w:cs="仿宋"/>
          <w:kern w:val="2"/>
          <w:sz w:val="21"/>
          <w:szCs w:val="21"/>
          <w:u w:val="single"/>
        </w:rPr>
        <w:t>20）由承包人负责处理施工扰民和民扰问题，该费用已包含在合同价内。承包人应对整个现场的施工组织和施工方案的适用性、稳定性和安全性负全面责任。同时根据施工现场的实际情况建立健全质量保证体系，环境保证体系和执业健康与安全保证系。为避免正常施工时产生的消音、震动、光线等因素导致周围的居民和公众对工程进展造成影响，承包人应当及时采取合理措施对施工场地周围的公众进行协调。承包人不再向发包人索取任何与施工扰民或民扰有关的费用。</w:t>
      </w:r>
    </w:p>
    <w:p>
      <w:pPr>
        <w:pStyle w:val="2"/>
        <w:kinsoku w:val="0"/>
        <w:overflowPunct w:val="0"/>
        <w:spacing w:before="33" w:line="308" w:lineRule="auto"/>
        <w:ind w:right="202" w:firstLine="422"/>
        <w:rPr>
          <w:rFonts w:ascii="仿宋" w:hAnsi="仿宋" w:eastAsia="仿宋" w:cs="仿宋"/>
          <w:kern w:val="2"/>
          <w:sz w:val="21"/>
          <w:szCs w:val="21"/>
          <w:u w:val="single"/>
        </w:rPr>
      </w:pPr>
      <w:r>
        <w:rPr>
          <w:rFonts w:hint="eastAsia" w:ascii="仿宋" w:hAnsi="仿宋" w:eastAsia="仿宋" w:cs="仿宋"/>
          <w:kern w:val="2"/>
          <w:sz w:val="21"/>
          <w:szCs w:val="21"/>
          <w:u w:val="single"/>
        </w:rPr>
        <w:t>21) 施工图纸未标明，但明显属于使用功能需要的、施工（相关）规范有要求的或明显影响美观效果的，承包人有责任和义务自行完善。费用由承包人承担。</w:t>
      </w:r>
    </w:p>
    <w:p>
      <w:pPr>
        <w:pStyle w:val="2"/>
        <w:kinsoku w:val="0"/>
        <w:overflowPunct w:val="0"/>
        <w:spacing w:before="3" w:line="310" w:lineRule="auto"/>
        <w:ind w:right="204" w:firstLine="420"/>
        <w:rPr>
          <w:rFonts w:ascii="仿宋" w:hAnsi="仿宋" w:eastAsia="仿宋" w:cs="仿宋"/>
          <w:kern w:val="2"/>
          <w:sz w:val="21"/>
          <w:szCs w:val="21"/>
          <w:u w:val="single"/>
        </w:rPr>
      </w:pPr>
      <w:r>
        <w:rPr>
          <w:rFonts w:hint="eastAsia" w:ascii="仿宋" w:hAnsi="仿宋" w:eastAsia="仿宋" w:cs="仿宋"/>
          <w:kern w:val="2"/>
          <w:sz w:val="21"/>
          <w:szCs w:val="21"/>
          <w:u w:val="single"/>
        </w:rPr>
        <w:t>22) 承包人负责补遗工作：如果任何未明显属于本工程承包的工作范围，但未以文字形式明确约定为属于任何指定其他独立承包人的工作范围，也未在本合同中以文字形式明确约定为属于承包人自行完成的工作范围，此类工作应由承包人作为本工程总承包责任和义务自行完成。费用由发包人承担。</w:t>
      </w:r>
    </w:p>
    <w:p>
      <w:pPr>
        <w:pStyle w:val="2"/>
        <w:kinsoku w:val="0"/>
        <w:overflowPunct w:val="0"/>
        <w:spacing w:before="88" w:line="310" w:lineRule="auto"/>
        <w:ind w:right="221" w:firstLine="420"/>
        <w:rPr>
          <w:rFonts w:ascii="仿宋" w:hAnsi="仿宋" w:eastAsia="仿宋" w:cs="仿宋"/>
          <w:kern w:val="2"/>
          <w:sz w:val="21"/>
          <w:szCs w:val="21"/>
          <w:u w:val="single"/>
        </w:rPr>
      </w:pPr>
      <w:r>
        <w:rPr>
          <w:rFonts w:hint="eastAsia" w:ascii="仿宋" w:hAnsi="仿宋" w:eastAsia="仿宋" w:cs="仿宋"/>
          <w:kern w:val="2"/>
          <w:sz w:val="21"/>
          <w:szCs w:val="21"/>
          <w:u w:val="single"/>
        </w:rPr>
        <w:t>23) 承包人必须确保竣工图纸与实际相吻合，无论竣工资料（包括竣工图）是否通过验收，凡由于竣工图及施工记录等与实际不符引起的一切纠纷和责任(包括但不限于结算工程 量的确认、竣工资料的移交和验收、物业管理和维护及保修等)均由承包人承担。发包人、监理人及北京市城建档案馆等有关部门和单位对竣工资料的验收和确认，既不代表发包人已认可竣工图与实际相吻合，也不能免除承包人应承担的责任和义务。当发包人对承包人的竣工图的准确性提出异议时，承包人应提供必要的证明，而这种证明不得仅局限于监理人、北京市城建档案馆等有关部门和单位的意见。</w:t>
      </w:r>
    </w:p>
    <w:p>
      <w:pPr>
        <w:pStyle w:val="2"/>
        <w:kinsoku w:val="0"/>
        <w:overflowPunct w:val="0"/>
        <w:spacing w:before="28" w:line="310" w:lineRule="auto"/>
        <w:ind w:right="199" w:firstLine="422"/>
        <w:rPr>
          <w:rFonts w:ascii="仿宋" w:hAnsi="仿宋" w:eastAsia="仿宋" w:cs="仿宋"/>
          <w:kern w:val="2"/>
          <w:sz w:val="21"/>
          <w:szCs w:val="21"/>
          <w:u w:val="single"/>
        </w:rPr>
      </w:pPr>
      <w:r>
        <w:rPr>
          <w:rFonts w:hint="eastAsia" w:ascii="仿宋" w:hAnsi="仿宋" w:eastAsia="仿宋" w:cs="仿宋"/>
          <w:kern w:val="2"/>
          <w:sz w:val="21"/>
          <w:szCs w:val="21"/>
          <w:u w:val="single"/>
        </w:rPr>
        <w:t>24）需承包人办理有关施工现场的交通、环卫和施工噪音管理等手续，由承包人负责办理有关手续，所发生的费用由承包人支付。</w:t>
      </w:r>
    </w:p>
    <w:p>
      <w:pPr>
        <w:pStyle w:val="2"/>
        <w:kinsoku w:val="0"/>
        <w:overflowPunct w:val="0"/>
        <w:spacing w:before="28" w:line="310" w:lineRule="auto"/>
        <w:ind w:right="199"/>
        <w:rPr>
          <w:rFonts w:ascii="仿宋" w:hAnsi="仿宋" w:eastAsia="仿宋" w:cs="仿宋"/>
          <w:b/>
          <w:bCs/>
          <w:kern w:val="2"/>
          <w:sz w:val="21"/>
          <w:szCs w:val="21"/>
          <w:u w:val="single"/>
        </w:rPr>
      </w:pPr>
      <w:r>
        <w:rPr>
          <w:rFonts w:hint="eastAsia" w:ascii="仿宋" w:hAnsi="仿宋" w:eastAsia="仿宋" w:cs="仿宋"/>
          <w:b/>
          <w:bCs/>
          <w:kern w:val="2"/>
          <w:sz w:val="21"/>
          <w:szCs w:val="21"/>
          <w:u w:val="single"/>
        </w:rPr>
        <w:t>十、治安保卫</w:t>
      </w:r>
    </w:p>
    <w:p>
      <w:pPr>
        <w:spacing w:line="360" w:lineRule="auto"/>
        <w:rPr>
          <w:rFonts w:ascii="仿宋" w:hAnsi="仿宋" w:eastAsia="仿宋" w:cs="仿宋"/>
          <w:kern w:val="0"/>
          <w:szCs w:val="21"/>
        </w:rPr>
      </w:pPr>
      <w:bookmarkStart w:id="43" w:name="_Toc486580404"/>
      <w:bookmarkStart w:id="44" w:name="_Toc485323178"/>
      <w:bookmarkStart w:id="45" w:name="_Toc489280210"/>
      <w:r>
        <w:rPr>
          <w:rFonts w:hint="eastAsia" w:ascii="仿宋" w:hAnsi="仿宋" w:eastAsia="仿宋" w:cs="仿宋"/>
          <w:kern w:val="0"/>
          <w:szCs w:val="21"/>
        </w:rPr>
        <w:t>制定施工场地治安管理计划和突发治安事件紧急预案的责任人</w:t>
      </w:r>
      <w:r>
        <w:rPr>
          <w:rFonts w:hint="eastAsia" w:ascii="仿宋" w:hAnsi="仿宋" w:eastAsia="仿宋" w:cs="仿宋"/>
          <w:szCs w:val="21"/>
        </w:rPr>
        <w:t>：</w:t>
      </w:r>
      <w:r>
        <w:rPr>
          <w:rFonts w:hint="eastAsia" w:ascii="仿宋" w:hAnsi="仿宋" w:eastAsia="仿宋" w:cs="仿宋"/>
          <w:szCs w:val="21"/>
          <w:u w:val="single"/>
        </w:rPr>
        <w:t>承包人</w:t>
      </w:r>
    </w:p>
    <w:p>
      <w:pPr>
        <w:pStyle w:val="2"/>
        <w:kinsoku w:val="0"/>
        <w:overflowPunct w:val="0"/>
        <w:spacing w:before="28" w:line="310" w:lineRule="auto"/>
        <w:ind w:right="199"/>
        <w:rPr>
          <w:rFonts w:ascii="仿宋" w:hAnsi="仿宋" w:eastAsia="仿宋" w:cs="仿宋"/>
          <w:b/>
          <w:bCs/>
          <w:kern w:val="2"/>
          <w:sz w:val="21"/>
          <w:szCs w:val="21"/>
          <w:u w:val="single"/>
        </w:rPr>
      </w:pPr>
      <w:bookmarkStart w:id="46" w:name="_Toc519694016"/>
      <w:bookmarkStart w:id="47" w:name="_Toc497214073"/>
      <w:bookmarkStart w:id="48" w:name="_Toc490331695"/>
      <w:r>
        <w:rPr>
          <w:rFonts w:hint="eastAsia" w:ascii="仿宋" w:hAnsi="仿宋" w:eastAsia="仿宋" w:cs="仿宋"/>
          <w:b/>
          <w:bCs/>
          <w:kern w:val="2"/>
          <w:sz w:val="21"/>
          <w:szCs w:val="21"/>
          <w:u w:val="single"/>
        </w:rPr>
        <w:t>十一、环境保护</w:t>
      </w:r>
      <w:bookmarkEnd w:id="43"/>
      <w:bookmarkEnd w:id="44"/>
      <w:bookmarkEnd w:id="45"/>
      <w:bookmarkEnd w:id="46"/>
      <w:bookmarkEnd w:id="47"/>
      <w:bookmarkEnd w:id="48"/>
    </w:p>
    <w:p>
      <w:pPr>
        <w:spacing w:line="360" w:lineRule="auto"/>
        <w:rPr>
          <w:rFonts w:ascii="仿宋" w:hAnsi="仿宋" w:eastAsia="仿宋" w:cs="仿宋"/>
          <w:kern w:val="0"/>
          <w:szCs w:val="21"/>
        </w:rPr>
      </w:pPr>
      <w:r>
        <w:rPr>
          <w:rFonts w:hint="eastAsia" w:ascii="仿宋" w:hAnsi="仿宋" w:eastAsia="仿宋" w:cs="仿宋"/>
          <w:kern w:val="0"/>
          <w:szCs w:val="21"/>
        </w:rPr>
        <w:t>施工环保措施计划报送监理人审批的时间</w:t>
      </w:r>
      <w:r>
        <w:rPr>
          <w:rFonts w:hint="eastAsia" w:ascii="仿宋" w:hAnsi="仿宋" w:eastAsia="仿宋" w:cs="仿宋"/>
          <w:szCs w:val="21"/>
        </w:rPr>
        <w:t>：</w:t>
      </w:r>
      <w:r>
        <w:rPr>
          <w:rFonts w:hint="eastAsia" w:ascii="仿宋" w:hAnsi="仿宋" w:eastAsia="仿宋" w:cs="仿宋"/>
          <w:szCs w:val="21"/>
          <w:u w:val="single"/>
        </w:rPr>
        <w:t>要求承包人在进场后开工日期前7天内，按合同约定的安全工作内容，编制环境措施计划报送批准，并按批准指示意见执行</w:t>
      </w:r>
    </w:p>
    <w:p>
      <w:pPr>
        <w:spacing w:line="360" w:lineRule="auto"/>
        <w:rPr>
          <w:rFonts w:ascii="仿宋" w:hAnsi="仿宋" w:eastAsia="仿宋" w:cs="仿宋"/>
          <w:kern w:val="0"/>
          <w:szCs w:val="21"/>
        </w:rPr>
      </w:pPr>
      <w:r>
        <w:rPr>
          <w:rFonts w:hint="eastAsia" w:ascii="仿宋" w:hAnsi="仿宋" w:eastAsia="仿宋" w:cs="仿宋"/>
          <w:kern w:val="0"/>
          <w:szCs w:val="21"/>
        </w:rPr>
        <w:t>监理人收到承包人报送的施工环保措施计划后应当在</w:t>
      </w:r>
      <w:r>
        <w:rPr>
          <w:rFonts w:hint="eastAsia" w:ascii="仿宋" w:hAnsi="仿宋" w:eastAsia="仿宋" w:cs="仿宋"/>
          <w:szCs w:val="21"/>
        </w:rPr>
        <w:t>监理人收到承包人报送的施工环保措施计划后应当在</w:t>
      </w:r>
      <w:r>
        <w:rPr>
          <w:rFonts w:hint="eastAsia" w:ascii="仿宋" w:hAnsi="仿宋" w:eastAsia="仿宋" w:cs="仿宋"/>
          <w:szCs w:val="21"/>
          <w:u w:val="single"/>
        </w:rPr>
        <w:t xml:space="preserve">  7 </w:t>
      </w:r>
      <w:r>
        <w:rPr>
          <w:rFonts w:hint="eastAsia" w:ascii="仿宋" w:hAnsi="仿宋" w:eastAsia="仿宋" w:cs="仿宋"/>
          <w:kern w:val="0"/>
          <w:szCs w:val="21"/>
        </w:rPr>
        <w:t>天内给予批复。</w:t>
      </w:r>
    </w:p>
    <w:p>
      <w:pPr>
        <w:keepNext/>
        <w:keepLines/>
        <w:spacing w:beforeLines="50" w:afterLines="50" w:line="360" w:lineRule="auto"/>
        <w:outlineLvl w:val="2"/>
        <w:rPr>
          <w:rFonts w:ascii="仿宋" w:hAnsi="仿宋" w:eastAsia="仿宋" w:cs="仿宋"/>
          <w:b/>
          <w:bCs/>
          <w:kern w:val="0"/>
          <w:szCs w:val="21"/>
        </w:rPr>
      </w:pPr>
      <w:r>
        <w:rPr>
          <w:rFonts w:hint="eastAsia" w:ascii="仿宋" w:hAnsi="仿宋" w:eastAsia="仿宋" w:cs="仿宋"/>
          <w:b/>
          <w:bCs/>
          <w:kern w:val="0"/>
          <w:szCs w:val="21"/>
        </w:rPr>
        <w:t>十二、竣工验收申请报告</w:t>
      </w:r>
    </w:p>
    <w:p>
      <w:pPr>
        <w:spacing w:line="360" w:lineRule="auto"/>
        <w:rPr>
          <w:rFonts w:ascii="仿宋" w:hAnsi="仿宋" w:eastAsia="仿宋" w:cs="仿宋"/>
          <w:szCs w:val="21"/>
          <w:u w:val="single"/>
        </w:rPr>
      </w:pPr>
      <w:r>
        <w:rPr>
          <w:rFonts w:hint="eastAsia" w:ascii="仿宋" w:hAnsi="仿宋" w:eastAsia="仿宋" w:cs="仿宋"/>
          <w:szCs w:val="21"/>
        </w:rPr>
        <w:t>承包人负责整理和提交的竣工验收资料具体内容：</w:t>
      </w:r>
      <w:r>
        <w:rPr>
          <w:rFonts w:hint="eastAsia" w:ascii="仿宋" w:hAnsi="仿宋" w:eastAsia="仿宋" w:cs="仿宋"/>
          <w:szCs w:val="21"/>
          <w:u w:val="single"/>
        </w:rPr>
        <w:t>按招标人有关施工资料的要求</w:t>
      </w:r>
      <w:r>
        <w:rPr>
          <w:rFonts w:hint="eastAsia" w:ascii="仿宋" w:hAnsi="仿宋" w:eastAsia="仿宋" w:cs="仿宋"/>
          <w:szCs w:val="21"/>
        </w:rPr>
        <w:t>。</w:t>
      </w:r>
    </w:p>
    <w:p>
      <w:pPr>
        <w:spacing w:line="360" w:lineRule="auto"/>
        <w:rPr>
          <w:rFonts w:ascii="仿宋" w:hAnsi="仿宋" w:eastAsia="仿宋" w:cs="仿宋"/>
          <w:szCs w:val="21"/>
        </w:rPr>
      </w:pPr>
      <w:r>
        <w:rPr>
          <w:rFonts w:hint="eastAsia" w:ascii="仿宋" w:hAnsi="仿宋" w:eastAsia="仿宋" w:cs="仿宋"/>
          <w:szCs w:val="21"/>
        </w:rPr>
        <w:t>竣工验收资料的份数：</w:t>
      </w:r>
      <w:r>
        <w:rPr>
          <w:rFonts w:hint="eastAsia" w:ascii="仿宋" w:hAnsi="仿宋" w:eastAsia="仿宋" w:cs="仿宋"/>
          <w:szCs w:val="21"/>
          <w:u w:val="single"/>
        </w:rPr>
        <w:t>3套竣工图及工程档案资料。并应交付相应的施工变更签证、隐蔽工程验收签证和说明等一切资料（其中一套为原始资料）。</w:t>
      </w:r>
    </w:p>
    <w:p>
      <w:pPr>
        <w:spacing w:line="360" w:lineRule="auto"/>
        <w:rPr>
          <w:rFonts w:ascii="仿宋" w:hAnsi="仿宋" w:eastAsia="仿宋" w:cs="仿宋"/>
          <w:szCs w:val="21"/>
        </w:rPr>
      </w:pPr>
      <w:r>
        <w:rPr>
          <w:rFonts w:hint="eastAsia" w:ascii="仿宋" w:hAnsi="仿宋" w:eastAsia="仿宋" w:cs="仿宋"/>
          <w:szCs w:val="21"/>
        </w:rPr>
        <w:t>竣工验收资料的费用支付方式：</w:t>
      </w:r>
      <w:r>
        <w:rPr>
          <w:rFonts w:hint="eastAsia" w:ascii="仿宋" w:hAnsi="仿宋" w:eastAsia="仿宋" w:cs="仿宋"/>
          <w:szCs w:val="21"/>
          <w:u w:val="single"/>
        </w:rPr>
        <w:t>包含在投标总价内。</w:t>
      </w:r>
    </w:p>
    <w:p>
      <w:pPr>
        <w:keepNext/>
        <w:keepLines/>
        <w:spacing w:beforeLines="50" w:afterLines="50" w:line="360" w:lineRule="auto"/>
        <w:outlineLvl w:val="2"/>
        <w:rPr>
          <w:rFonts w:ascii="仿宋" w:hAnsi="仿宋" w:eastAsia="仿宋" w:cs="仿宋"/>
          <w:b/>
          <w:bCs/>
          <w:kern w:val="0"/>
          <w:szCs w:val="21"/>
        </w:rPr>
      </w:pPr>
      <w:bookmarkStart w:id="49" w:name="_Toc519694050"/>
      <w:bookmarkStart w:id="50" w:name="_Toc489280243"/>
      <w:bookmarkStart w:id="51" w:name="_Toc485323211"/>
      <w:bookmarkStart w:id="52" w:name="_Toc497214106"/>
      <w:bookmarkStart w:id="53" w:name="_Toc486580437"/>
      <w:bookmarkStart w:id="54" w:name="_Toc490331728"/>
      <w:r>
        <w:rPr>
          <w:rFonts w:hint="eastAsia" w:ascii="仿宋" w:hAnsi="仿宋" w:eastAsia="仿宋" w:cs="仿宋"/>
          <w:b/>
          <w:bCs/>
          <w:kern w:val="0"/>
          <w:szCs w:val="21"/>
        </w:rPr>
        <w:t>十三、施工期运行</w:t>
      </w:r>
      <w:bookmarkEnd w:id="49"/>
      <w:bookmarkEnd w:id="50"/>
      <w:bookmarkEnd w:id="51"/>
      <w:bookmarkEnd w:id="52"/>
      <w:bookmarkEnd w:id="53"/>
      <w:bookmarkEnd w:id="54"/>
    </w:p>
    <w:p>
      <w:pPr>
        <w:spacing w:line="360" w:lineRule="auto"/>
        <w:rPr>
          <w:rFonts w:ascii="仿宋" w:hAnsi="仿宋" w:eastAsia="仿宋" w:cs="仿宋"/>
          <w:szCs w:val="21"/>
          <w:u w:val="single"/>
        </w:rPr>
      </w:pPr>
      <w:r>
        <w:rPr>
          <w:rFonts w:hint="eastAsia" w:ascii="仿宋" w:hAnsi="仿宋" w:eastAsia="仿宋" w:cs="仿宋"/>
          <w:szCs w:val="21"/>
        </w:rPr>
        <w:t>需要施工期运行的单位工程或设备安装工程：/</w:t>
      </w:r>
    </w:p>
    <w:p>
      <w:pPr>
        <w:keepNext/>
        <w:keepLines/>
        <w:spacing w:beforeLines="50" w:afterLines="50" w:line="360" w:lineRule="auto"/>
        <w:outlineLvl w:val="2"/>
        <w:rPr>
          <w:rFonts w:ascii="仿宋" w:hAnsi="仿宋" w:eastAsia="仿宋" w:cs="仿宋"/>
          <w:b/>
          <w:bCs/>
          <w:kern w:val="0"/>
          <w:szCs w:val="21"/>
        </w:rPr>
      </w:pPr>
      <w:bookmarkStart w:id="55" w:name="_Toc497214107"/>
      <w:bookmarkStart w:id="56" w:name="_Toc485323212"/>
      <w:bookmarkStart w:id="57" w:name="_Toc486580438"/>
      <w:bookmarkStart w:id="58" w:name="_Toc489280244"/>
      <w:bookmarkStart w:id="59" w:name="_Toc490331729"/>
      <w:bookmarkStart w:id="60" w:name="_Toc519694051"/>
      <w:r>
        <w:rPr>
          <w:rFonts w:hint="eastAsia" w:ascii="仿宋" w:hAnsi="仿宋" w:eastAsia="仿宋" w:cs="仿宋"/>
          <w:b/>
          <w:bCs/>
          <w:kern w:val="0"/>
          <w:szCs w:val="21"/>
        </w:rPr>
        <w:t>十四、施工队伍的撤离</w:t>
      </w:r>
      <w:bookmarkEnd w:id="55"/>
      <w:bookmarkEnd w:id="56"/>
      <w:bookmarkEnd w:id="57"/>
      <w:bookmarkEnd w:id="58"/>
      <w:bookmarkEnd w:id="59"/>
      <w:bookmarkEnd w:id="60"/>
    </w:p>
    <w:p>
      <w:pPr>
        <w:spacing w:line="360" w:lineRule="auto"/>
        <w:rPr>
          <w:rFonts w:ascii="仿宋" w:hAnsi="仿宋" w:eastAsia="仿宋" w:cs="仿宋"/>
          <w:szCs w:val="21"/>
          <w:u w:val="single"/>
        </w:rPr>
      </w:pPr>
      <w:r>
        <w:rPr>
          <w:rFonts w:hint="eastAsia" w:ascii="仿宋" w:hAnsi="仿宋" w:eastAsia="仿宋" w:cs="仿宋"/>
          <w:szCs w:val="21"/>
        </w:rPr>
        <w:t>缺陷责任期满时，承包人在施工场地保留的人员和施工设备最终撤离的期限：</w:t>
      </w:r>
      <w:r>
        <w:rPr>
          <w:rFonts w:hint="eastAsia" w:ascii="仿宋" w:hAnsi="仿宋" w:eastAsia="仿宋" w:cs="仿宋"/>
          <w:szCs w:val="21"/>
          <w:u w:val="single"/>
        </w:rPr>
        <w:t>7日内，承包人应提交其留场人员和设备的明细表及最后撤离时间。延期撤离造成发包人增加的费用，应由承包人承担</w:t>
      </w:r>
    </w:p>
    <w:p>
      <w:pPr>
        <w:snapToGrid w:val="0"/>
        <w:spacing w:line="360" w:lineRule="auto"/>
        <w:rPr>
          <w:rFonts w:ascii="仿宋" w:hAnsi="仿宋" w:eastAsia="仿宋" w:cs="仿宋"/>
          <w:b/>
          <w:bCs/>
          <w:szCs w:val="21"/>
        </w:rPr>
      </w:pPr>
      <w:r>
        <w:rPr>
          <w:rFonts w:hint="eastAsia" w:ascii="仿宋" w:hAnsi="仿宋" w:eastAsia="仿宋" w:cs="仿宋"/>
          <w:b/>
          <w:bCs/>
          <w:kern w:val="0"/>
          <w:szCs w:val="21"/>
        </w:rPr>
        <w:t>十五、</w:t>
      </w:r>
      <w:r>
        <w:rPr>
          <w:rFonts w:hint="eastAsia" w:ascii="仿宋" w:hAnsi="仿宋" w:eastAsia="仿宋" w:cs="仿宋"/>
          <w:b/>
          <w:bCs/>
          <w:szCs w:val="21"/>
        </w:rPr>
        <w:t>保修责任</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1、属于责任范围、内容的项目，承包人应当在接到保修通知之日起7天内派人保修。承包人不在约定期限内派人保修的，发包人可以委托他人修理。</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2、发生紧急抢修事故的，承包人在接到事故通知后，应当立即到达事故现场抢修。</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3、对于涉及结构安全的质量问题，应当按照《房屋建筑工程质量保修办法》的规定，立即向当地建设行政主管部门报告，采取安全防范措施；由原设计人或者具有相应资质等级的设计人提出保修方案，承包人实施保修。</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4、质量保修完成后，由发包人组织验收。</w:t>
      </w:r>
    </w:p>
    <w:p>
      <w:pPr>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5、</w:t>
      </w:r>
      <w:r>
        <w:rPr>
          <w:rFonts w:hint="eastAsia" w:ascii="仿宋" w:hAnsi="仿宋" w:eastAsia="仿宋" w:cs="仿宋"/>
          <w:szCs w:val="21"/>
        </w:rPr>
        <w:t>保修费用：保修费用由造成质量缺陷的责任方承担。</w:t>
      </w:r>
    </w:p>
    <w:p>
      <w:pPr>
        <w:rPr>
          <w:rFonts w:ascii="仿宋" w:hAnsi="仿宋" w:eastAsia="仿宋" w:cs="仿宋"/>
          <w:szCs w:val="21"/>
          <w:u w:val="single"/>
        </w:rPr>
      </w:pPr>
    </w:p>
    <w:p>
      <w:pPr>
        <w:keepNext/>
        <w:keepLines/>
        <w:spacing w:beforeLines="50" w:afterLines="50" w:line="360" w:lineRule="auto"/>
        <w:outlineLvl w:val="2"/>
        <w:rPr>
          <w:rFonts w:ascii="仿宋" w:hAnsi="仿宋" w:eastAsia="仿宋" w:cs="仿宋"/>
          <w:b/>
          <w:bCs/>
          <w:kern w:val="0"/>
          <w:szCs w:val="21"/>
        </w:rPr>
      </w:pPr>
      <w:r>
        <w:rPr>
          <w:rFonts w:hint="eastAsia" w:ascii="仿宋" w:hAnsi="仿宋" w:eastAsia="仿宋" w:cs="仿宋"/>
          <w:b/>
          <w:bCs/>
          <w:kern w:val="0"/>
          <w:szCs w:val="21"/>
        </w:rPr>
        <w:t>十六、争议的解决方式</w:t>
      </w:r>
    </w:p>
    <w:p>
      <w:pPr>
        <w:spacing w:line="360" w:lineRule="auto"/>
        <w:ind w:firstLine="420" w:firstLineChars="200"/>
        <w:rPr>
          <w:rFonts w:ascii="仿宋" w:hAnsi="仿宋" w:eastAsia="仿宋" w:cs="仿宋"/>
          <w:szCs w:val="21"/>
        </w:rPr>
      </w:pPr>
      <w:r>
        <w:rPr>
          <w:rFonts w:hint="eastAsia" w:ascii="仿宋" w:hAnsi="仿宋" w:eastAsia="仿宋" w:cs="仿宋"/>
          <w:szCs w:val="21"/>
        </w:rPr>
        <w:t>因本合同引起的或与本合同有关的任何争议，合同双方友好协商不成、不愿提请争议组评审或者不愿接受争议评审组意见的，选择下列第</w:t>
      </w:r>
      <w:r>
        <w:rPr>
          <w:rFonts w:hint="eastAsia" w:ascii="仿宋" w:hAnsi="仿宋" w:eastAsia="仿宋" w:cs="仿宋"/>
          <w:szCs w:val="21"/>
          <w:u w:val="single"/>
        </w:rPr>
        <w:t>（贰）</w:t>
      </w:r>
      <w:r>
        <w:rPr>
          <w:rFonts w:hint="eastAsia" w:ascii="仿宋" w:hAnsi="仿宋" w:eastAsia="仿宋" w:cs="仿宋"/>
          <w:szCs w:val="21"/>
        </w:rPr>
        <w:t>种方式解决：</w:t>
      </w:r>
    </w:p>
    <w:p>
      <w:pPr>
        <w:spacing w:line="360" w:lineRule="auto"/>
        <w:ind w:firstLine="420" w:firstLineChars="200"/>
        <w:rPr>
          <w:rFonts w:ascii="仿宋" w:hAnsi="仿宋" w:eastAsia="仿宋" w:cs="仿宋"/>
          <w:szCs w:val="21"/>
        </w:rPr>
      </w:pPr>
      <w:r>
        <w:rPr>
          <w:rFonts w:hint="eastAsia" w:ascii="仿宋" w:hAnsi="仿宋" w:eastAsia="仿宋" w:cs="仿宋"/>
          <w:szCs w:val="21"/>
          <w:u w:val="single"/>
        </w:rPr>
        <w:t>（壹）</w:t>
      </w:r>
      <w:r>
        <w:rPr>
          <w:rFonts w:hint="eastAsia" w:ascii="仿宋" w:hAnsi="仿宋" w:eastAsia="仿宋" w:cs="仿宋"/>
          <w:szCs w:val="21"/>
        </w:rPr>
        <w:t>提请仲裁委员会按照该会仲裁规则进行仲裁，仲裁裁决是终局的，对合同双方均有约束力。</w:t>
      </w:r>
    </w:p>
    <w:p>
      <w:pPr>
        <w:rPr>
          <w:rFonts w:ascii="仿宋" w:hAnsi="仿宋" w:eastAsia="仿宋" w:cs="仿宋"/>
          <w:szCs w:val="21"/>
          <w:u w:val="single"/>
        </w:rPr>
      </w:pPr>
      <w:r>
        <w:rPr>
          <w:rFonts w:hint="eastAsia" w:ascii="仿宋" w:hAnsi="仿宋" w:eastAsia="仿宋" w:cs="仿宋"/>
          <w:szCs w:val="21"/>
          <w:u w:val="single"/>
        </w:rPr>
        <w:t>（贰）</w:t>
      </w:r>
      <w:r>
        <w:rPr>
          <w:rFonts w:hint="eastAsia" w:ascii="仿宋" w:hAnsi="仿宋" w:eastAsia="仿宋" w:cs="仿宋"/>
          <w:szCs w:val="21"/>
        </w:rPr>
        <w:t>向有管辖权的人民法院提起诉讼。</w:t>
      </w:r>
    </w:p>
    <w:p>
      <w:pPr>
        <w:rPr>
          <w:rFonts w:ascii="仿宋" w:hAnsi="仿宋" w:eastAsia="仿宋" w:cs="仿宋"/>
          <w:b/>
          <w:bCs/>
          <w:szCs w:val="21"/>
        </w:rPr>
      </w:pPr>
    </w:p>
    <w:p>
      <w:pPr>
        <w:rPr>
          <w:rFonts w:ascii="仿宋" w:hAnsi="仿宋" w:eastAsia="仿宋" w:cs="仿宋"/>
          <w:b/>
          <w:bCs/>
          <w:szCs w:val="21"/>
        </w:rPr>
      </w:pPr>
    </w:p>
    <w:p>
      <w:pPr>
        <w:rPr>
          <w:rFonts w:ascii="仿宋" w:hAnsi="仿宋" w:eastAsia="仿宋" w:cs="仿宋"/>
          <w:b/>
          <w:bCs/>
          <w:szCs w:val="21"/>
        </w:rPr>
      </w:pPr>
    </w:p>
    <w:p>
      <w:pPr>
        <w:rPr>
          <w:rFonts w:ascii="仿宋" w:hAnsi="仿宋" w:eastAsia="仿宋" w:cs="仿宋"/>
          <w:b/>
          <w:bCs/>
          <w:szCs w:val="21"/>
        </w:rPr>
      </w:pPr>
    </w:p>
    <w:p>
      <w:pPr>
        <w:rPr>
          <w:rFonts w:ascii="仿宋" w:hAnsi="仿宋" w:eastAsia="仿宋" w:cs="仿宋"/>
          <w:b/>
          <w:bCs/>
          <w:szCs w:val="21"/>
        </w:rPr>
      </w:pPr>
    </w:p>
    <w:p>
      <w:pPr>
        <w:rPr>
          <w:rFonts w:ascii="仿宋" w:hAnsi="仿宋" w:eastAsia="仿宋" w:cs="仿宋"/>
          <w:b/>
          <w:bCs/>
          <w:szCs w:val="21"/>
        </w:rPr>
      </w:pPr>
    </w:p>
    <w:p>
      <w:pPr>
        <w:rPr>
          <w:rFonts w:ascii="仿宋" w:hAnsi="仿宋" w:eastAsia="仿宋" w:cs="仿宋"/>
          <w:b/>
          <w:bCs/>
          <w:szCs w:val="21"/>
        </w:rPr>
      </w:pPr>
    </w:p>
    <w:p>
      <w:pPr>
        <w:rPr>
          <w:rFonts w:ascii="仿宋" w:hAnsi="仿宋" w:eastAsia="仿宋" w:cs="仿宋"/>
          <w:bCs/>
          <w:szCs w:val="21"/>
        </w:rPr>
      </w:pPr>
    </w:p>
    <w:p>
      <w:pPr>
        <w:pStyle w:val="3"/>
        <w:keepNext w:val="0"/>
        <w:keepLines w:val="0"/>
        <w:spacing w:before="0" w:after="0" w:line="360" w:lineRule="auto"/>
        <w:rPr>
          <w:rFonts w:ascii="仿宋" w:hAnsi="仿宋" w:eastAsia="仿宋" w:cs="仿宋"/>
          <w:bCs/>
          <w:kern w:val="2"/>
          <w:sz w:val="21"/>
          <w:szCs w:val="21"/>
        </w:rPr>
      </w:pPr>
      <w:r>
        <w:rPr>
          <w:rFonts w:hint="eastAsia" w:ascii="仿宋" w:hAnsi="仿宋" w:eastAsia="仿宋" w:cs="仿宋"/>
          <w:bCs/>
          <w:kern w:val="2"/>
          <w:sz w:val="21"/>
          <w:szCs w:val="21"/>
        </w:rPr>
        <w:t>第四章  附  件</w:t>
      </w:r>
      <w:bookmarkEnd w:id="42"/>
    </w:p>
    <w:p>
      <w:pPr>
        <w:spacing w:line="360" w:lineRule="auto"/>
        <w:jc w:val="center"/>
        <w:rPr>
          <w:rFonts w:ascii="仿宋" w:hAnsi="仿宋" w:eastAsia="仿宋" w:cs="仿宋"/>
          <w:b/>
          <w:bCs/>
          <w:szCs w:val="21"/>
        </w:rPr>
      </w:pPr>
      <w:r>
        <w:rPr>
          <w:rFonts w:hint="eastAsia" w:ascii="仿宋" w:hAnsi="仿宋" w:eastAsia="仿宋" w:cs="仿宋"/>
          <w:b/>
          <w:szCs w:val="21"/>
        </w:rPr>
        <w:t>（谈判响应文件格式）</w:t>
      </w:r>
    </w:p>
    <w:p>
      <w:pPr>
        <w:spacing w:line="360" w:lineRule="auto"/>
        <w:rPr>
          <w:rFonts w:ascii="仿宋" w:hAnsi="仿宋" w:eastAsia="仿宋" w:cs="仿宋"/>
          <w:b/>
          <w:szCs w:val="21"/>
        </w:rPr>
      </w:pPr>
      <w:r>
        <w:rPr>
          <w:rFonts w:hint="eastAsia" w:ascii="仿宋" w:hAnsi="仿宋" w:eastAsia="仿宋" w:cs="仿宋"/>
          <w:b/>
          <w:szCs w:val="21"/>
        </w:rPr>
        <w:t>附件一：</w:t>
      </w:r>
    </w:p>
    <w:p>
      <w:pPr>
        <w:snapToGrid w:val="0"/>
        <w:spacing w:line="360" w:lineRule="auto"/>
        <w:jc w:val="center"/>
        <w:rPr>
          <w:rFonts w:ascii="仿宋" w:hAnsi="仿宋" w:eastAsia="仿宋" w:cs="仿宋"/>
          <w:szCs w:val="21"/>
        </w:rPr>
      </w:pPr>
      <w:r>
        <w:rPr>
          <w:rFonts w:hint="eastAsia" w:ascii="仿宋" w:hAnsi="仿宋" w:eastAsia="仿宋" w:cs="仿宋"/>
          <w:szCs w:val="21"/>
        </w:rPr>
        <w:t>报价函</w:t>
      </w:r>
    </w:p>
    <w:p>
      <w:pPr>
        <w:snapToGrid w:val="0"/>
        <w:spacing w:line="360" w:lineRule="auto"/>
        <w:rPr>
          <w:rFonts w:ascii="仿宋" w:hAnsi="仿宋" w:eastAsia="仿宋" w:cs="仿宋"/>
          <w:szCs w:val="21"/>
        </w:rPr>
      </w:pPr>
    </w:p>
    <w:p>
      <w:pPr>
        <w:snapToGrid w:val="0"/>
        <w:spacing w:line="360" w:lineRule="auto"/>
        <w:rPr>
          <w:rFonts w:ascii="仿宋" w:hAnsi="仿宋" w:eastAsia="仿宋" w:cs="仿宋"/>
          <w:szCs w:val="21"/>
        </w:rPr>
      </w:pPr>
      <w:r>
        <w:rPr>
          <w:rFonts w:hint="eastAsia" w:ascii="仿宋" w:hAnsi="仿宋" w:eastAsia="仿宋" w:cs="仿宋"/>
          <w:szCs w:val="21"/>
        </w:rPr>
        <w:t>致：防灾科技学院</w:t>
      </w:r>
    </w:p>
    <w:p>
      <w:pPr>
        <w:snapToGrid w:val="0"/>
        <w:spacing w:line="360" w:lineRule="auto"/>
        <w:ind w:firstLine="552"/>
        <w:rPr>
          <w:rFonts w:ascii="仿宋" w:hAnsi="仿宋" w:eastAsia="仿宋" w:cs="仿宋"/>
          <w:szCs w:val="21"/>
        </w:rPr>
      </w:pPr>
      <w:r>
        <w:rPr>
          <w:rFonts w:hint="eastAsia" w:ascii="仿宋" w:hAnsi="仿宋" w:eastAsia="仿宋" w:cs="仿宋"/>
          <w:spacing w:val="6"/>
          <w:szCs w:val="21"/>
        </w:rPr>
        <w:t>在审阅了</w:t>
      </w:r>
      <w:r>
        <w:rPr>
          <w:rFonts w:hint="eastAsia" w:ascii="仿宋" w:hAnsi="仿宋" w:eastAsia="仿宋" w:cs="仿宋"/>
          <w:spacing w:val="6"/>
          <w:szCs w:val="21"/>
          <w:u w:val="single"/>
        </w:rPr>
        <w:t xml:space="preserve">    （项目名称）    </w:t>
      </w:r>
      <w:r>
        <w:rPr>
          <w:rFonts w:hint="eastAsia" w:ascii="仿宋" w:hAnsi="仿宋" w:eastAsia="仿宋" w:cs="仿宋"/>
          <w:spacing w:val="6"/>
          <w:szCs w:val="21"/>
        </w:rPr>
        <w:t>谈判文件（项目编号：</w:t>
      </w:r>
      <w:r>
        <w:rPr>
          <w:rFonts w:hint="eastAsia" w:ascii="仿宋" w:hAnsi="仿宋" w:eastAsia="仿宋" w:cs="仿宋"/>
          <w:spacing w:val="6"/>
          <w:szCs w:val="21"/>
          <w:u w:val="single"/>
        </w:rPr>
        <w:t xml:space="preserve">      </w:t>
      </w:r>
      <w:r>
        <w:rPr>
          <w:rFonts w:hint="eastAsia" w:ascii="仿宋" w:hAnsi="仿宋" w:eastAsia="仿宋" w:cs="仿宋"/>
          <w:spacing w:val="6"/>
          <w:szCs w:val="21"/>
        </w:rPr>
        <w:t>）</w:t>
      </w:r>
      <w:r>
        <w:rPr>
          <w:rFonts w:hint="eastAsia" w:ascii="仿宋" w:hAnsi="仿宋" w:eastAsia="仿宋" w:cs="仿宋"/>
          <w:spacing w:val="20"/>
          <w:szCs w:val="21"/>
        </w:rPr>
        <w:t>，我方下述签字人将按照</w:t>
      </w:r>
      <w:r>
        <w:rPr>
          <w:rFonts w:hint="eastAsia" w:ascii="仿宋" w:hAnsi="仿宋" w:eastAsia="仿宋" w:cs="仿宋"/>
          <w:b/>
          <w:spacing w:val="20"/>
          <w:szCs w:val="21"/>
        </w:rPr>
        <w:t>谈判文件</w:t>
      </w:r>
      <w:r>
        <w:rPr>
          <w:rFonts w:hint="eastAsia" w:ascii="仿宋" w:hAnsi="仿宋" w:eastAsia="仿宋" w:cs="仿宋"/>
          <w:spacing w:val="20"/>
          <w:szCs w:val="21"/>
        </w:rPr>
        <w:t>的规定提供总价</w:t>
      </w:r>
      <w:r>
        <w:rPr>
          <w:rFonts w:hint="eastAsia" w:ascii="仿宋" w:hAnsi="仿宋" w:eastAsia="仿宋" w:cs="仿宋"/>
          <w:szCs w:val="21"/>
        </w:rPr>
        <w:t>为</w:t>
      </w:r>
      <w:r>
        <w:rPr>
          <w:rFonts w:hint="eastAsia" w:ascii="仿宋" w:hAnsi="仿宋" w:eastAsia="仿宋" w:cs="仿宋"/>
          <w:szCs w:val="21"/>
          <w:u w:val="single"/>
        </w:rPr>
        <w:t xml:space="preserve">              （用文字和数字表示的总价）</w:t>
      </w:r>
      <w:r>
        <w:rPr>
          <w:rFonts w:hint="eastAsia" w:ascii="仿宋" w:hAnsi="仿宋" w:eastAsia="仿宋" w:cs="仿宋"/>
          <w:szCs w:val="21"/>
        </w:rPr>
        <w:t>的服务，其中由小型和微型企业提供服务的价格为</w:t>
      </w:r>
      <w:r>
        <w:rPr>
          <w:rFonts w:hint="eastAsia" w:ascii="仿宋" w:hAnsi="仿宋" w:eastAsia="仿宋" w:cs="仿宋"/>
          <w:szCs w:val="21"/>
          <w:u w:val="single"/>
        </w:rPr>
        <w:t xml:space="preserve">      （用文字和数字表示）</w:t>
      </w:r>
      <w:r>
        <w:rPr>
          <w:rFonts w:hint="eastAsia" w:ascii="仿宋" w:hAnsi="仿宋" w:eastAsia="仿宋" w:cs="仿宋"/>
          <w:szCs w:val="21"/>
        </w:rPr>
        <w:t>，占总价的</w:t>
      </w:r>
      <w:r>
        <w:rPr>
          <w:rFonts w:hint="eastAsia" w:ascii="仿宋" w:hAnsi="仿宋" w:eastAsia="仿宋" w:cs="仿宋"/>
          <w:szCs w:val="21"/>
          <w:u w:val="single"/>
        </w:rPr>
        <w:t xml:space="preserve">   %</w:t>
      </w:r>
      <w:r>
        <w:rPr>
          <w:rFonts w:hint="eastAsia" w:ascii="仿宋" w:hAnsi="仿宋" w:eastAsia="仿宋" w:cs="仿宋"/>
          <w:szCs w:val="21"/>
        </w:rPr>
        <w:t>。并作出如下承诺：</w:t>
      </w:r>
    </w:p>
    <w:p>
      <w:pPr>
        <w:snapToGrid w:val="0"/>
        <w:spacing w:line="360" w:lineRule="auto"/>
        <w:ind w:firstLine="552"/>
        <w:rPr>
          <w:rFonts w:ascii="仿宋" w:hAnsi="仿宋" w:eastAsia="仿宋" w:cs="仿宋"/>
          <w:szCs w:val="21"/>
        </w:rPr>
      </w:pPr>
      <w:r>
        <w:rPr>
          <w:rFonts w:hint="eastAsia" w:ascii="仿宋" w:hAnsi="仿宋" w:eastAsia="仿宋" w:cs="仿宋"/>
          <w:szCs w:val="21"/>
        </w:rPr>
        <w:t>1、如果我们被确定为成交供应商，我们将按照谈判后双方确认的合同条款的要求执行。</w:t>
      </w:r>
    </w:p>
    <w:p>
      <w:pPr>
        <w:snapToGrid w:val="0"/>
        <w:spacing w:line="360" w:lineRule="auto"/>
        <w:ind w:firstLine="552"/>
        <w:rPr>
          <w:rFonts w:ascii="仿宋" w:hAnsi="仿宋" w:eastAsia="仿宋" w:cs="仿宋"/>
          <w:szCs w:val="21"/>
        </w:rPr>
      </w:pPr>
      <w:r>
        <w:rPr>
          <w:rFonts w:hint="eastAsia" w:ascii="仿宋" w:hAnsi="仿宋" w:eastAsia="仿宋" w:cs="仿宋"/>
          <w:szCs w:val="21"/>
        </w:rPr>
        <w:t>2、我方保证忠实地执行买、卖双方所签的合同，并承担合同规定的责任和义务。</w:t>
      </w:r>
    </w:p>
    <w:p>
      <w:pPr>
        <w:snapToGrid w:val="0"/>
        <w:spacing w:line="360" w:lineRule="auto"/>
        <w:ind w:firstLine="552"/>
        <w:rPr>
          <w:rFonts w:ascii="仿宋" w:hAnsi="仿宋" w:eastAsia="仿宋" w:cs="仿宋"/>
          <w:szCs w:val="21"/>
        </w:rPr>
      </w:pPr>
      <w:r>
        <w:rPr>
          <w:rFonts w:hint="eastAsia" w:ascii="仿宋" w:hAnsi="仿宋" w:eastAsia="仿宋" w:cs="仿宋"/>
          <w:szCs w:val="21"/>
        </w:rPr>
        <w:t>3、我方愿意向贵方提供任何与此报价有关的数据、情况和技术资料。</w:t>
      </w:r>
    </w:p>
    <w:p>
      <w:pPr>
        <w:snapToGrid w:val="0"/>
        <w:spacing w:line="360" w:lineRule="auto"/>
        <w:ind w:firstLine="552"/>
        <w:rPr>
          <w:rFonts w:ascii="仿宋" w:hAnsi="仿宋" w:eastAsia="仿宋" w:cs="仿宋"/>
          <w:szCs w:val="21"/>
        </w:rPr>
      </w:pPr>
      <w:r>
        <w:rPr>
          <w:rFonts w:hint="eastAsia" w:ascii="仿宋" w:hAnsi="仿宋" w:eastAsia="仿宋" w:cs="仿宋"/>
          <w:szCs w:val="21"/>
        </w:rPr>
        <w:t>4、我方提交的响应文件及报价自提交日期起</w:t>
      </w:r>
      <w:r>
        <w:rPr>
          <w:rFonts w:hint="eastAsia" w:ascii="仿宋" w:hAnsi="仿宋" w:eastAsia="仿宋" w:cs="仿宋"/>
          <w:szCs w:val="21"/>
          <w:u w:val="single"/>
        </w:rPr>
        <w:t xml:space="preserve">    </w:t>
      </w:r>
      <w:r>
        <w:rPr>
          <w:rFonts w:hint="eastAsia" w:ascii="仿宋" w:hAnsi="仿宋" w:eastAsia="仿宋" w:cs="仿宋"/>
          <w:szCs w:val="21"/>
        </w:rPr>
        <w:t>天有效，并对我方具有约束力。</w:t>
      </w:r>
    </w:p>
    <w:p>
      <w:pPr>
        <w:snapToGrid w:val="0"/>
        <w:spacing w:line="360" w:lineRule="auto"/>
        <w:ind w:firstLine="552"/>
        <w:rPr>
          <w:rFonts w:ascii="仿宋" w:hAnsi="仿宋" w:eastAsia="仿宋" w:cs="仿宋"/>
          <w:szCs w:val="21"/>
        </w:rPr>
      </w:pPr>
      <w:r>
        <w:rPr>
          <w:rFonts w:hint="eastAsia" w:ascii="仿宋" w:hAnsi="仿宋" w:eastAsia="仿宋" w:cs="仿宋"/>
          <w:szCs w:val="21"/>
        </w:rPr>
        <w:t>5、在正式合同准备好和签字前，本报价函及贵方的书面成交结果通知书将构成约束我们双方的合同内容。</w:t>
      </w:r>
    </w:p>
    <w:p>
      <w:pPr>
        <w:pStyle w:val="18"/>
        <w:snapToGrid w:val="0"/>
        <w:spacing w:after="0" w:line="360" w:lineRule="auto"/>
        <w:rPr>
          <w:rFonts w:ascii="仿宋" w:hAnsi="仿宋" w:eastAsia="仿宋" w:cs="仿宋"/>
          <w:b/>
          <w:szCs w:val="21"/>
        </w:rPr>
      </w:pPr>
    </w:p>
    <w:p>
      <w:pPr>
        <w:snapToGrid w:val="0"/>
        <w:spacing w:line="360" w:lineRule="auto"/>
        <w:ind w:firstLine="552"/>
        <w:rPr>
          <w:rFonts w:ascii="仿宋" w:hAnsi="仿宋" w:eastAsia="仿宋" w:cs="仿宋"/>
          <w:szCs w:val="21"/>
        </w:rPr>
      </w:pPr>
      <w:r>
        <w:rPr>
          <w:rFonts w:hint="eastAsia" w:ascii="仿宋" w:hAnsi="仿宋" w:eastAsia="仿宋" w:cs="仿宋"/>
          <w:szCs w:val="21"/>
        </w:rPr>
        <w:t>出具日期：</w:t>
      </w:r>
      <w:r>
        <w:rPr>
          <w:rFonts w:hint="eastAsia" w:ascii="仿宋" w:hAnsi="仿宋" w:eastAsia="仿宋" w:cs="仿宋"/>
          <w:szCs w:val="21"/>
          <w:u w:val="single"/>
        </w:rPr>
        <w:t xml:space="preserve">                 </w:t>
      </w:r>
    </w:p>
    <w:p>
      <w:pPr>
        <w:snapToGrid w:val="0"/>
        <w:spacing w:line="360" w:lineRule="auto"/>
        <w:ind w:firstLine="552"/>
        <w:rPr>
          <w:rFonts w:ascii="仿宋" w:hAnsi="仿宋" w:eastAsia="仿宋" w:cs="仿宋"/>
          <w:szCs w:val="21"/>
        </w:rPr>
      </w:pPr>
      <w:r>
        <w:rPr>
          <w:rFonts w:hint="eastAsia" w:ascii="仿宋" w:hAnsi="仿宋" w:eastAsia="仿宋" w:cs="仿宋"/>
          <w:szCs w:val="21"/>
        </w:rPr>
        <w:t>授权代表签字：</w:t>
      </w:r>
      <w:r>
        <w:rPr>
          <w:rFonts w:hint="eastAsia" w:ascii="仿宋" w:hAnsi="仿宋" w:eastAsia="仿宋" w:cs="仿宋"/>
          <w:szCs w:val="21"/>
          <w:u w:val="single"/>
        </w:rPr>
        <w:tab/>
      </w:r>
      <w:r>
        <w:rPr>
          <w:rFonts w:hint="eastAsia" w:ascii="仿宋" w:hAnsi="仿宋" w:eastAsia="仿宋" w:cs="仿宋"/>
          <w:szCs w:val="21"/>
          <w:u w:val="single"/>
        </w:rPr>
        <w:t xml:space="preserve">             </w:t>
      </w:r>
      <w:r>
        <w:rPr>
          <w:rFonts w:hint="eastAsia" w:ascii="仿宋" w:hAnsi="仿宋" w:eastAsia="仿宋" w:cs="仿宋"/>
          <w:szCs w:val="21"/>
        </w:rPr>
        <w:t>职务：</w:t>
      </w:r>
      <w:r>
        <w:rPr>
          <w:rFonts w:hint="eastAsia" w:ascii="仿宋" w:hAnsi="仿宋" w:eastAsia="仿宋" w:cs="仿宋"/>
          <w:szCs w:val="21"/>
          <w:u w:val="single"/>
        </w:rPr>
        <w:t xml:space="preserve">               </w:t>
      </w:r>
    </w:p>
    <w:p>
      <w:pPr>
        <w:snapToGrid w:val="0"/>
        <w:spacing w:line="360" w:lineRule="auto"/>
        <w:ind w:firstLine="552"/>
        <w:rPr>
          <w:rFonts w:ascii="仿宋" w:hAnsi="仿宋" w:eastAsia="仿宋" w:cs="仿宋"/>
          <w:szCs w:val="21"/>
          <w:u w:val="single"/>
        </w:rPr>
        <w:sectPr>
          <w:footerReference r:id="rId3" w:type="default"/>
          <w:pgSz w:w="11907" w:h="16840"/>
          <w:pgMar w:top="1440" w:right="1304" w:bottom="1440" w:left="1418" w:header="851" w:footer="992" w:gutter="0"/>
          <w:cols w:space="720" w:num="1"/>
          <w:docGrid w:type="linesAndChars" w:linePitch="312" w:charSpace="0"/>
        </w:sectPr>
      </w:pPr>
      <w:r>
        <w:rPr>
          <w:rFonts w:hint="eastAsia" w:ascii="仿宋" w:hAnsi="仿宋" w:eastAsia="仿宋" w:cs="仿宋"/>
          <w:szCs w:val="21"/>
        </w:rPr>
        <w:t>公章：</w:t>
      </w:r>
      <w:r>
        <w:rPr>
          <w:rFonts w:hint="eastAsia" w:ascii="仿宋" w:hAnsi="仿宋" w:eastAsia="仿宋" w:cs="仿宋"/>
          <w:szCs w:val="21"/>
          <w:u w:val="single"/>
        </w:rPr>
        <w:t xml:space="preserve">                     </w:t>
      </w:r>
    </w:p>
    <w:p>
      <w:pPr>
        <w:spacing w:line="360" w:lineRule="auto"/>
        <w:rPr>
          <w:rFonts w:ascii="仿宋" w:hAnsi="仿宋" w:eastAsia="仿宋" w:cs="仿宋"/>
          <w:b/>
          <w:szCs w:val="21"/>
        </w:rPr>
      </w:pPr>
      <w:r>
        <w:rPr>
          <w:rFonts w:hint="eastAsia" w:ascii="仿宋" w:hAnsi="仿宋" w:eastAsia="仿宋" w:cs="仿宋"/>
          <w:b/>
          <w:szCs w:val="21"/>
        </w:rPr>
        <w:t>附件二：</w:t>
      </w:r>
    </w:p>
    <w:p>
      <w:pPr>
        <w:spacing w:line="360" w:lineRule="auto"/>
        <w:jc w:val="center"/>
        <w:rPr>
          <w:rFonts w:ascii="仿宋" w:hAnsi="仿宋" w:eastAsia="仿宋" w:cs="仿宋"/>
          <w:szCs w:val="21"/>
        </w:rPr>
      </w:pPr>
      <w:r>
        <w:rPr>
          <w:rFonts w:hint="eastAsia" w:ascii="仿宋" w:hAnsi="仿宋" w:eastAsia="仿宋" w:cs="仿宋"/>
          <w:b/>
          <w:szCs w:val="21"/>
        </w:rPr>
        <w:t>参考报价表</w:t>
      </w:r>
    </w:p>
    <w:p>
      <w:pPr>
        <w:spacing w:line="360" w:lineRule="auto"/>
        <w:ind w:firstLine="420" w:firstLineChars="200"/>
        <w:rPr>
          <w:rFonts w:ascii="仿宋" w:hAnsi="仿宋" w:eastAsia="仿宋" w:cs="仿宋"/>
          <w:b/>
          <w:szCs w:val="21"/>
        </w:rPr>
      </w:pPr>
      <w:r>
        <w:rPr>
          <w:rFonts w:hint="eastAsia" w:ascii="仿宋" w:hAnsi="仿宋" w:eastAsia="仿宋" w:cs="仿宋"/>
          <w:b/>
          <w:szCs w:val="21"/>
        </w:rPr>
        <w:t>项目编号：                           价格单位：人民币元</w:t>
      </w:r>
    </w:p>
    <w:tbl>
      <w:tblPr>
        <w:tblStyle w:val="29"/>
        <w:tblW w:w="8410" w:type="dxa"/>
        <w:jc w:val="center"/>
        <w:tblInd w:w="0" w:type="dxa"/>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723"/>
        <w:gridCol w:w="1506"/>
        <w:gridCol w:w="2008"/>
        <w:gridCol w:w="1890"/>
      </w:tblGrid>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283"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序号</w:t>
            </w:r>
          </w:p>
        </w:tc>
        <w:tc>
          <w:tcPr>
            <w:tcW w:w="1723"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品牌型号</w:t>
            </w:r>
          </w:p>
        </w:tc>
        <w:tc>
          <w:tcPr>
            <w:tcW w:w="1506"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单价</w:t>
            </w:r>
          </w:p>
        </w:tc>
        <w:tc>
          <w:tcPr>
            <w:tcW w:w="2008"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总价</w:t>
            </w:r>
          </w:p>
        </w:tc>
        <w:tc>
          <w:tcPr>
            <w:tcW w:w="1890"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备注</w:t>
            </w: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widowControl/>
              <w:spacing w:line="360" w:lineRule="auto"/>
              <w:jc w:val="center"/>
              <w:rPr>
                <w:rFonts w:ascii="仿宋" w:hAnsi="仿宋" w:eastAsia="仿宋" w:cs="仿宋"/>
                <w:kern w:val="0"/>
                <w:szCs w:val="21"/>
              </w:rPr>
            </w:pPr>
          </w:p>
        </w:tc>
        <w:tc>
          <w:tcPr>
            <w:tcW w:w="1723" w:type="dxa"/>
            <w:vAlign w:val="center"/>
          </w:tcPr>
          <w:p>
            <w:pPr>
              <w:widowControl/>
              <w:spacing w:line="360" w:lineRule="auto"/>
              <w:jc w:val="center"/>
              <w:rPr>
                <w:rFonts w:ascii="仿宋" w:hAnsi="仿宋" w:eastAsia="仿宋" w:cs="仿宋"/>
                <w:kern w:val="0"/>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spacing w:line="360" w:lineRule="auto"/>
              <w:jc w:val="center"/>
              <w:rPr>
                <w:rFonts w:ascii="仿宋" w:hAnsi="仿宋" w:eastAsia="仿宋" w:cs="仿宋"/>
                <w:szCs w:val="21"/>
              </w:rPr>
            </w:pPr>
          </w:p>
        </w:tc>
        <w:tc>
          <w:tcPr>
            <w:tcW w:w="1723" w:type="dxa"/>
            <w:vAlign w:val="center"/>
          </w:tcPr>
          <w:p>
            <w:pPr>
              <w:spacing w:line="360" w:lineRule="auto"/>
              <w:jc w:val="center"/>
              <w:rPr>
                <w:rFonts w:ascii="仿宋" w:hAnsi="仿宋" w:eastAsia="仿宋" w:cs="仿宋"/>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spacing w:line="360" w:lineRule="auto"/>
              <w:jc w:val="center"/>
              <w:rPr>
                <w:rFonts w:ascii="仿宋" w:hAnsi="仿宋" w:eastAsia="仿宋" w:cs="仿宋"/>
                <w:szCs w:val="21"/>
              </w:rPr>
            </w:pPr>
          </w:p>
        </w:tc>
        <w:tc>
          <w:tcPr>
            <w:tcW w:w="1723" w:type="dxa"/>
          </w:tcPr>
          <w:p>
            <w:pPr>
              <w:spacing w:line="360" w:lineRule="auto"/>
              <w:jc w:val="center"/>
              <w:rPr>
                <w:rFonts w:ascii="仿宋" w:hAnsi="仿宋" w:eastAsia="仿宋" w:cs="仿宋"/>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spacing w:line="360" w:lineRule="auto"/>
              <w:jc w:val="center"/>
              <w:rPr>
                <w:rFonts w:ascii="仿宋" w:hAnsi="仿宋" w:eastAsia="仿宋" w:cs="仿宋"/>
                <w:szCs w:val="21"/>
              </w:rPr>
            </w:pPr>
          </w:p>
        </w:tc>
        <w:tc>
          <w:tcPr>
            <w:tcW w:w="1723" w:type="dxa"/>
          </w:tcPr>
          <w:p>
            <w:pPr>
              <w:spacing w:line="360" w:lineRule="auto"/>
              <w:jc w:val="center"/>
              <w:rPr>
                <w:rFonts w:ascii="仿宋" w:hAnsi="仿宋" w:eastAsia="仿宋" w:cs="仿宋"/>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bottom w:val="single" w:color="auto" w:sz="4" w:space="0"/>
            </w:tcBorders>
          </w:tcPr>
          <w:p>
            <w:pPr>
              <w:spacing w:line="360" w:lineRule="auto"/>
              <w:jc w:val="center"/>
              <w:rPr>
                <w:rFonts w:ascii="仿宋" w:hAnsi="仿宋" w:eastAsia="仿宋" w:cs="仿宋"/>
                <w:szCs w:val="21"/>
              </w:rPr>
            </w:pPr>
          </w:p>
        </w:tc>
        <w:tc>
          <w:tcPr>
            <w:tcW w:w="1723" w:type="dxa"/>
            <w:tcBorders>
              <w:bottom w:val="single" w:color="auto" w:sz="4" w:space="0"/>
            </w:tcBorders>
          </w:tcPr>
          <w:p>
            <w:pPr>
              <w:spacing w:line="360" w:lineRule="auto"/>
              <w:jc w:val="center"/>
              <w:rPr>
                <w:rFonts w:ascii="仿宋" w:hAnsi="仿宋" w:eastAsia="仿宋" w:cs="仿宋"/>
                <w:szCs w:val="21"/>
              </w:rPr>
            </w:pPr>
          </w:p>
        </w:tc>
        <w:tc>
          <w:tcPr>
            <w:tcW w:w="1506" w:type="dxa"/>
            <w:tcBorders>
              <w:bottom w:val="single" w:color="auto" w:sz="4" w:space="0"/>
            </w:tcBorders>
          </w:tcPr>
          <w:p>
            <w:pPr>
              <w:widowControl/>
              <w:spacing w:line="360" w:lineRule="auto"/>
              <w:jc w:val="center"/>
              <w:rPr>
                <w:rFonts w:ascii="仿宋" w:hAnsi="仿宋" w:eastAsia="仿宋" w:cs="仿宋"/>
                <w:kern w:val="0"/>
                <w:szCs w:val="21"/>
              </w:rPr>
            </w:pPr>
          </w:p>
        </w:tc>
        <w:tc>
          <w:tcPr>
            <w:tcW w:w="2008" w:type="dxa"/>
            <w:tcBorders>
              <w:bottom w:val="single" w:color="auto" w:sz="4" w:space="0"/>
            </w:tcBorders>
          </w:tcPr>
          <w:p>
            <w:pPr>
              <w:widowControl/>
              <w:spacing w:line="360" w:lineRule="auto"/>
              <w:jc w:val="center"/>
              <w:rPr>
                <w:rFonts w:ascii="仿宋" w:hAnsi="仿宋" w:eastAsia="仿宋" w:cs="仿宋"/>
                <w:kern w:val="0"/>
                <w:szCs w:val="21"/>
              </w:rPr>
            </w:pPr>
          </w:p>
        </w:tc>
        <w:tc>
          <w:tcPr>
            <w:tcW w:w="1890" w:type="dxa"/>
            <w:tcBorders>
              <w:bottom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p>
        </w:tc>
        <w:tc>
          <w:tcPr>
            <w:tcW w:w="1723" w:type="dxa"/>
            <w:tcBorders>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p>
        </w:tc>
        <w:tc>
          <w:tcPr>
            <w:tcW w:w="1506" w:type="dxa"/>
            <w:tcBorders>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0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0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723" w:type="dxa"/>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06" w:type="dxa"/>
            <w:tcBorders>
              <w:top w:val="single" w:color="auto" w:sz="4" w:space="0"/>
              <w:left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top w:val="single" w:color="auto" w:sz="4" w:space="0"/>
              <w:left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widowControl/>
              <w:spacing w:line="360" w:lineRule="auto"/>
              <w:jc w:val="center"/>
              <w:rPr>
                <w:rFonts w:ascii="仿宋" w:hAnsi="仿宋" w:eastAsia="仿宋" w:cs="仿宋"/>
                <w:kern w:val="0"/>
                <w:szCs w:val="21"/>
              </w:rPr>
            </w:pPr>
          </w:p>
        </w:tc>
        <w:tc>
          <w:tcPr>
            <w:tcW w:w="1723" w:type="dxa"/>
            <w:vAlign w:val="center"/>
          </w:tcPr>
          <w:p>
            <w:pPr>
              <w:widowControl/>
              <w:spacing w:line="360" w:lineRule="auto"/>
              <w:jc w:val="center"/>
              <w:rPr>
                <w:rFonts w:ascii="仿宋" w:hAnsi="仿宋" w:eastAsia="仿宋" w:cs="仿宋"/>
                <w:kern w:val="0"/>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bl>
    <w:p>
      <w:pPr>
        <w:spacing w:line="360" w:lineRule="auto"/>
        <w:ind w:left="1260" w:hanging="1260"/>
        <w:rPr>
          <w:rFonts w:ascii="仿宋" w:hAnsi="仿宋" w:eastAsia="仿宋" w:cs="仿宋"/>
          <w:b/>
          <w:szCs w:val="21"/>
        </w:rPr>
      </w:pPr>
      <w:r>
        <w:rPr>
          <w:rFonts w:hint="eastAsia" w:ascii="仿宋" w:hAnsi="仿宋" w:eastAsia="仿宋" w:cs="仿宋"/>
          <w:b/>
          <w:szCs w:val="21"/>
        </w:rPr>
        <w:t>说明：1、参考报价可以是市场价格，也可以是谈判供应商认为合适的价格。</w:t>
      </w:r>
    </w:p>
    <w:p>
      <w:pPr>
        <w:spacing w:line="360" w:lineRule="auto"/>
        <w:ind w:firstLine="630" w:firstLineChars="300"/>
        <w:rPr>
          <w:rFonts w:ascii="仿宋" w:hAnsi="仿宋" w:eastAsia="仿宋" w:cs="仿宋"/>
          <w:b/>
          <w:szCs w:val="21"/>
        </w:rPr>
      </w:pPr>
      <w:r>
        <w:rPr>
          <w:rFonts w:hint="eastAsia" w:ascii="仿宋" w:hAnsi="仿宋" w:eastAsia="仿宋" w:cs="仿宋"/>
          <w:b/>
          <w:szCs w:val="21"/>
        </w:rPr>
        <w:t>2、参考报价不作为评审的依据。</w:t>
      </w:r>
    </w:p>
    <w:p>
      <w:pPr>
        <w:snapToGrid w:val="0"/>
        <w:spacing w:line="360" w:lineRule="auto"/>
        <w:ind w:firstLine="550"/>
        <w:rPr>
          <w:rFonts w:ascii="仿宋" w:hAnsi="仿宋" w:eastAsia="仿宋" w:cs="仿宋"/>
          <w:szCs w:val="21"/>
        </w:rPr>
      </w:pPr>
    </w:p>
    <w:p>
      <w:pPr>
        <w:snapToGrid w:val="0"/>
        <w:spacing w:line="360" w:lineRule="auto"/>
        <w:ind w:firstLine="550"/>
        <w:rPr>
          <w:rFonts w:ascii="仿宋" w:hAnsi="仿宋" w:eastAsia="仿宋" w:cs="仿宋"/>
          <w:szCs w:val="21"/>
        </w:rPr>
      </w:pPr>
    </w:p>
    <w:p>
      <w:pPr>
        <w:snapToGrid w:val="0"/>
        <w:spacing w:line="360" w:lineRule="auto"/>
        <w:ind w:firstLine="552"/>
        <w:rPr>
          <w:rFonts w:ascii="仿宋" w:hAnsi="仿宋" w:eastAsia="仿宋" w:cs="仿宋"/>
          <w:szCs w:val="21"/>
        </w:rPr>
      </w:pPr>
      <w:r>
        <w:rPr>
          <w:rFonts w:hint="eastAsia" w:ascii="仿宋" w:hAnsi="仿宋" w:eastAsia="仿宋" w:cs="仿宋"/>
          <w:szCs w:val="21"/>
        </w:rPr>
        <w:t>出具日期：</w:t>
      </w:r>
      <w:r>
        <w:rPr>
          <w:rFonts w:hint="eastAsia" w:ascii="仿宋" w:hAnsi="仿宋" w:eastAsia="仿宋" w:cs="仿宋"/>
          <w:szCs w:val="21"/>
          <w:u w:val="single"/>
        </w:rPr>
        <w:t xml:space="preserve">                 </w:t>
      </w:r>
    </w:p>
    <w:p>
      <w:pPr>
        <w:snapToGrid w:val="0"/>
        <w:spacing w:line="360" w:lineRule="auto"/>
        <w:ind w:firstLine="552"/>
        <w:rPr>
          <w:rFonts w:ascii="仿宋" w:hAnsi="仿宋" w:eastAsia="仿宋" w:cs="仿宋"/>
          <w:szCs w:val="21"/>
        </w:rPr>
      </w:pPr>
      <w:r>
        <w:rPr>
          <w:rFonts w:hint="eastAsia" w:ascii="仿宋" w:hAnsi="仿宋" w:eastAsia="仿宋" w:cs="仿宋"/>
          <w:szCs w:val="21"/>
        </w:rPr>
        <w:t>授权代表签字：</w:t>
      </w:r>
      <w:r>
        <w:rPr>
          <w:rFonts w:hint="eastAsia" w:ascii="仿宋" w:hAnsi="仿宋" w:eastAsia="仿宋" w:cs="仿宋"/>
          <w:szCs w:val="21"/>
          <w:u w:val="single"/>
        </w:rPr>
        <w:tab/>
      </w:r>
      <w:r>
        <w:rPr>
          <w:rFonts w:hint="eastAsia" w:ascii="仿宋" w:hAnsi="仿宋" w:eastAsia="仿宋" w:cs="仿宋"/>
          <w:szCs w:val="21"/>
          <w:u w:val="single"/>
        </w:rPr>
        <w:t xml:space="preserve">             </w:t>
      </w:r>
    </w:p>
    <w:p>
      <w:pPr>
        <w:snapToGrid w:val="0"/>
        <w:spacing w:line="360" w:lineRule="auto"/>
        <w:ind w:firstLine="550"/>
        <w:rPr>
          <w:rFonts w:ascii="仿宋" w:hAnsi="仿宋" w:eastAsia="仿宋" w:cs="仿宋"/>
          <w:b/>
          <w:szCs w:val="21"/>
        </w:rPr>
      </w:pPr>
      <w:r>
        <w:rPr>
          <w:rFonts w:hint="eastAsia" w:ascii="仿宋" w:hAnsi="仿宋" w:eastAsia="仿宋" w:cs="仿宋"/>
          <w:szCs w:val="21"/>
        </w:rPr>
        <w:t>公章：</w:t>
      </w:r>
      <w:r>
        <w:rPr>
          <w:rFonts w:hint="eastAsia" w:ascii="仿宋" w:hAnsi="仿宋" w:eastAsia="仿宋" w:cs="仿宋"/>
          <w:szCs w:val="21"/>
          <w:u w:val="single"/>
        </w:rPr>
        <w:t xml:space="preserve">                     </w:t>
      </w:r>
    </w:p>
    <w:p>
      <w:pPr>
        <w:spacing w:line="360" w:lineRule="auto"/>
        <w:rPr>
          <w:rFonts w:ascii="仿宋" w:hAnsi="仿宋" w:eastAsia="仿宋" w:cs="仿宋"/>
          <w:b/>
          <w:szCs w:val="21"/>
        </w:rPr>
      </w:pPr>
      <w:r>
        <w:rPr>
          <w:rFonts w:hint="eastAsia" w:ascii="仿宋" w:hAnsi="仿宋" w:eastAsia="仿宋" w:cs="仿宋"/>
          <w:b/>
          <w:szCs w:val="21"/>
        </w:rPr>
        <w:br w:type="page"/>
      </w:r>
      <w:r>
        <w:rPr>
          <w:rFonts w:hint="eastAsia" w:ascii="仿宋" w:hAnsi="仿宋" w:eastAsia="仿宋" w:cs="仿宋"/>
          <w:b/>
          <w:szCs w:val="21"/>
        </w:rPr>
        <w:t>附件三：</w:t>
      </w:r>
    </w:p>
    <w:p>
      <w:pPr>
        <w:spacing w:line="360" w:lineRule="auto"/>
        <w:jc w:val="center"/>
        <w:rPr>
          <w:rFonts w:ascii="仿宋" w:hAnsi="仿宋" w:eastAsia="仿宋" w:cs="仿宋"/>
          <w:szCs w:val="21"/>
        </w:rPr>
      </w:pPr>
      <w:r>
        <w:rPr>
          <w:rFonts w:hint="eastAsia" w:ascii="仿宋" w:hAnsi="仿宋" w:eastAsia="仿宋" w:cs="仿宋"/>
          <w:szCs w:val="21"/>
        </w:rPr>
        <w:t>资格证明文件</w:t>
      </w:r>
    </w:p>
    <w:p>
      <w:pPr>
        <w:spacing w:line="360" w:lineRule="auto"/>
        <w:rPr>
          <w:rFonts w:ascii="仿宋" w:hAnsi="仿宋" w:eastAsia="仿宋" w:cs="仿宋"/>
          <w:szCs w:val="21"/>
          <w:u w:val="single"/>
        </w:rPr>
      </w:pPr>
      <w:r>
        <w:rPr>
          <w:rFonts w:hint="eastAsia" w:ascii="仿宋" w:hAnsi="仿宋" w:eastAsia="仿宋" w:cs="仿宋"/>
          <w:b/>
          <w:szCs w:val="21"/>
        </w:rPr>
        <w:t>（一）法定代表人授权书</w:t>
      </w:r>
    </w:p>
    <w:p>
      <w:pPr>
        <w:spacing w:line="360" w:lineRule="auto"/>
        <w:rPr>
          <w:rFonts w:ascii="仿宋" w:hAnsi="仿宋" w:eastAsia="仿宋" w:cs="仿宋"/>
          <w:szCs w:val="21"/>
        </w:rPr>
      </w:pPr>
      <w:r>
        <w:rPr>
          <w:rFonts w:hint="eastAsia" w:ascii="仿宋" w:hAnsi="仿宋" w:eastAsia="仿宋" w:cs="仿宋"/>
          <w:szCs w:val="21"/>
          <w:u w:val="single"/>
        </w:rPr>
        <w:t>防灾科技学院</w:t>
      </w:r>
      <w:r>
        <w:rPr>
          <w:rFonts w:hint="eastAsia" w:ascii="仿宋" w:hAnsi="仿宋" w:eastAsia="仿宋" w:cs="仿宋"/>
          <w:szCs w:val="21"/>
        </w:rPr>
        <w:t>：</w:t>
      </w:r>
    </w:p>
    <w:p>
      <w:pPr>
        <w:spacing w:line="360" w:lineRule="auto"/>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szCs w:val="21"/>
          <w:u w:val="single"/>
        </w:rPr>
        <w:t xml:space="preserve">    （谈判供应商全称）    </w:t>
      </w:r>
      <w:r>
        <w:rPr>
          <w:rFonts w:hint="eastAsia" w:ascii="仿宋" w:hAnsi="仿宋" w:eastAsia="仿宋" w:cs="仿宋"/>
          <w:szCs w:val="21"/>
        </w:rPr>
        <w:t>法定代表人</w:t>
      </w:r>
      <w:r>
        <w:rPr>
          <w:rFonts w:hint="eastAsia" w:ascii="仿宋" w:hAnsi="仿宋" w:eastAsia="仿宋" w:cs="仿宋"/>
          <w:szCs w:val="21"/>
          <w:u w:val="single"/>
        </w:rPr>
        <w:t xml:space="preserve">  （姓名）  </w:t>
      </w:r>
      <w:r>
        <w:rPr>
          <w:rFonts w:hint="eastAsia" w:ascii="仿宋" w:hAnsi="仿宋" w:eastAsia="仿宋" w:cs="仿宋"/>
          <w:szCs w:val="21"/>
        </w:rPr>
        <w:t>授权</w:t>
      </w:r>
      <w:r>
        <w:rPr>
          <w:rFonts w:hint="eastAsia" w:ascii="仿宋" w:hAnsi="仿宋" w:eastAsia="仿宋" w:cs="仿宋"/>
          <w:szCs w:val="21"/>
          <w:u w:val="single"/>
        </w:rPr>
        <w:t xml:space="preserve">  姓名  </w:t>
      </w:r>
      <w:r>
        <w:rPr>
          <w:rFonts w:hint="eastAsia" w:ascii="仿宋" w:hAnsi="仿宋" w:eastAsia="仿宋" w:cs="仿宋"/>
          <w:szCs w:val="21"/>
        </w:rPr>
        <w:t>为全权代表，参加贵公司组织的</w:t>
      </w:r>
      <w:r>
        <w:rPr>
          <w:rFonts w:hint="eastAsia" w:ascii="仿宋" w:hAnsi="仿宋" w:eastAsia="仿宋" w:cs="仿宋"/>
          <w:szCs w:val="21"/>
          <w:u w:val="single"/>
        </w:rPr>
        <w:t xml:space="preserve">                 </w:t>
      </w:r>
      <w:r>
        <w:rPr>
          <w:rFonts w:hint="eastAsia" w:ascii="仿宋" w:hAnsi="仿宋" w:eastAsia="仿宋" w:cs="仿宋"/>
          <w:szCs w:val="21"/>
        </w:rPr>
        <w:t>项目（项目编号：</w:t>
      </w:r>
      <w:r>
        <w:rPr>
          <w:rFonts w:hint="eastAsia" w:ascii="仿宋" w:hAnsi="仿宋" w:eastAsia="仿宋" w:cs="仿宋"/>
          <w:szCs w:val="21"/>
          <w:u w:val="single"/>
        </w:rPr>
        <w:t xml:space="preserve">         </w:t>
      </w:r>
      <w:r>
        <w:rPr>
          <w:rFonts w:hint="eastAsia" w:ascii="仿宋" w:hAnsi="仿宋" w:eastAsia="仿宋" w:cs="仿宋"/>
          <w:szCs w:val="21"/>
        </w:rPr>
        <w:t>）谈判报价活动，全权处理谈判活动中的一切事宜。</w:t>
      </w:r>
    </w:p>
    <w:p>
      <w:pPr>
        <w:spacing w:line="360" w:lineRule="auto"/>
        <w:rPr>
          <w:rFonts w:ascii="仿宋" w:hAnsi="仿宋" w:eastAsia="仿宋" w:cs="仿宋"/>
          <w:szCs w:val="21"/>
        </w:rPr>
      </w:pPr>
      <w:r>
        <w:rPr>
          <w:rFonts w:hint="eastAsia" w:ascii="仿宋" w:hAnsi="仿宋" w:eastAsia="仿宋" w:cs="仿宋"/>
          <w:szCs w:val="21"/>
        </w:rPr>
        <w:t xml:space="preserve">          　　　　　　　　　　 法定代表人签字或签章：</w:t>
      </w:r>
    </w:p>
    <w:p>
      <w:pPr>
        <w:pStyle w:val="17"/>
        <w:spacing w:line="360" w:lineRule="auto"/>
        <w:rPr>
          <w:rFonts w:ascii="仿宋" w:hAnsi="仿宋" w:eastAsia="仿宋" w:cs="仿宋"/>
          <w:sz w:val="21"/>
          <w:szCs w:val="21"/>
        </w:rPr>
      </w:pPr>
      <w:r>
        <w:rPr>
          <w:rFonts w:hint="eastAsia" w:ascii="仿宋" w:hAnsi="仿宋" w:eastAsia="仿宋" w:cs="仿宋"/>
          <w:sz w:val="21"/>
          <w:szCs w:val="21"/>
        </w:rPr>
        <w:t xml:space="preserve">     </w:t>
      </w:r>
    </w:p>
    <w:p>
      <w:pPr>
        <w:spacing w:line="360" w:lineRule="auto"/>
        <w:rPr>
          <w:rFonts w:ascii="仿宋" w:hAnsi="仿宋" w:eastAsia="仿宋" w:cs="仿宋"/>
          <w:szCs w:val="21"/>
        </w:rPr>
      </w:pPr>
      <w:r>
        <w:rPr>
          <w:rFonts w:hint="eastAsia" w:ascii="仿宋" w:hAnsi="仿宋" w:eastAsia="仿宋" w:cs="仿宋"/>
          <w:szCs w:val="21"/>
        </w:rPr>
        <w:t xml:space="preserve">     　　　　　　　　　　　　　　    单位全称(公章)：</w:t>
      </w:r>
    </w:p>
    <w:p>
      <w:pPr>
        <w:spacing w:line="360" w:lineRule="auto"/>
        <w:rPr>
          <w:rFonts w:ascii="仿宋" w:hAnsi="仿宋" w:eastAsia="仿宋" w:cs="仿宋"/>
          <w:szCs w:val="21"/>
        </w:rPr>
      </w:pPr>
      <w:r>
        <w:rPr>
          <w:rFonts w:hint="eastAsia" w:ascii="仿宋" w:hAnsi="仿宋" w:eastAsia="仿宋" w:cs="仿宋"/>
          <w:szCs w:val="21"/>
        </w:rPr>
        <w:t xml:space="preserve">          </w:t>
      </w:r>
    </w:p>
    <w:p>
      <w:pPr>
        <w:spacing w:line="360" w:lineRule="auto"/>
        <w:rPr>
          <w:rFonts w:ascii="仿宋" w:hAnsi="仿宋" w:eastAsia="仿宋" w:cs="仿宋"/>
          <w:szCs w:val="21"/>
        </w:rPr>
      </w:pPr>
      <w:r>
        <w:rPr>
          <w:rFonts w:hint="eastAsia" w:ascii="仿宋" w:hAnsi="仿宋" w:eastAsia="仿宋" w:cs="仿宋"/>
          <w:szCs w:val="21"/>
        </w:rPr>
        <w:t xml:space="preserve">     　　　　　　　　　　　　　　           日　期：</w:t>
      </w:r>
    </w:p>
    <w:p>
      <w:pPr>
        <w:pStyle w:val="17"/>
        <w:spacing w:line="360" w:lineRule="auto"/>
        <w:rPr>
          <w:rFonts w:ascii="仿宋" w:hAnsi="仿宋" w:eastAsia="仿宋" w:cs="仿宋"/>
          <w:sz w:val="21"/>
          <w:szCs w:val="21"/>
        </w:rPr>
      </w:pPr>
      <w:r>
        <w:rPr>
          <w:rFonts w:hint="eastAsia" w:ascii="仿宋" w:hAnsi="仿宋" w:eastAsia="仿宋" w:cs="仿宋"/>
          <w:sz w:val="21"/>
          <w:szCs w:val="21"/>
        </w:rPr>
        <w:t xml:space="preserve">     </w:t>
      </w:r>
    </w:p>
    <w:p>
      <w:pPr>
        <w:spacing w:line="360" w:lineRule="auto"/>
        <w:rPr>
          <w:rFonts w:ascii="仿宋" w:hAnsi="仿宋" w:eastAsia="仿宋" w:cs="仿宋"/>
          <w:szCs w:val="21"/>
        </w:rPr>
      </w:pPr>
      <w:r>
        <w:rPr>
          <w:rFonts w:hint="eastAsia" w:ascii="仿宋" w:hAnsi="仿宋" w:eastAsia="仿宋" w:cs="仿宋"/>
          <w:szCs w:val="21"/>
        </w:rPr>
        <w:t xml:space="preserve">     附：</w:t>
      </w:r>
    </w:p>
    <w:p>
      <w:pPr>
        <w:spacing w:line="360" w:lineRule="auto"/>
        <w:rPr>
          <w:rFonts w:ascii="仿宋" w:hAnsi="仿宋" w:eastAsia="仿宋" w:cs="仿宋"/>
          <w:szCs w:val="21"/>
        </w:rPr>
      </w:pPr>
      <w:r>
        <w:rPr>
          <w:rFonts w:hint="eastAsia" w:ascii="仿宋" w:hAnsi="仿宋" w:eastAsia="仿宋" w:cs="仿宋"/>
          <w:szCs w:val="21"/>
        </w:rPr>
        <w:t xml:space="preserve">     　授权代表姓名：</w:t>
      </w:r>
    </w:p>
    <w:p>
      <w:pPr>
        <w:spacing w:line="360" w:lineRule="auto"/>
        <w:rPr>
          <w:rFonts w:ascii="仿宋" w:hAnsi="仿宋" w:eastAsia="仿宋" w:cs="仿宋"/>
          <w:szCs w:val="21"/>
        </w:rPr>
      </w:pPr>
      <w:r>
        <w:rPr>
          <w:rFonts w:hint="eastAsia" w:ascii="仿宋" w:hAnsi="仿宋" w:eastAsia="仿宋" w:cs="仿宋"/>
          <w:szCs w:val="21"/>
        </w:rPr>
        <w:t xml:space="preserve">     　职　　　　务：</w:t>
      </w:r>
    </w:p>
    <w:p>
      <w:pPr>
        <w:spacing w:line="360" w:lineRule="auto"/>
        <w:rPr>
          <w:rFonts w:ascii="仿宋" w:hAnsi="仿宋" w:eastAsia="仿宋" w:cs="仿宋"/>
          <w:szCs w:val="21"/>
        </w:rPr>
      </w:pPr>
      <w:r>
        <w:rPr>
          <w:rFonts w:hint="eastAsia" w:ascii="仿宋" w:hAnsi="仿宋" w:eastAsia="仿宋" w:cs="仿宋"/>
          <w:szCs w:val="21"/>
        </w:rPr>
        <w:t xml:space="preserve">     　详细通讯地址：</w:t>
      </w:r>
    </w:p>
    <w:p>
      <w:pPr>
        <w:spacing w:line="360" w:lineRule="auto"/>
        <w:rPr>
          <w:rFonts w:ascii="仿宋" w:hAnsi="仿宋" w:eastAsia="仿宋" w:cs="仿宋"/>
          <w:szCs w:val="21"/>
        </w:rPr>
      </w:pPr>
      <w:r>
        <w:rPr>
          <w:rFonts w:hint="eastAsia" w:ascii="仿宋" w:hAnsi="仿宋" w:eastAsia="仿宋" w:cs="仿宋"/>
          <w:szCs w:val="21"/>
        </w:rPr>
        <w:t xml:space="preserve">     　邮 政 编 码 ：</w:t>
      </w:r>
    </w:p>
    <w:p>
      <w:pPr>
        <w:spacing w:line="360" w:lineRule="auto"/>
        <w:rPr>
          <w:rFonts w:ascii="仿宋" w:hAnsi="仿宋" w:eastAsia="仿宋" w:cs="仿宋"/>
          <w:szCs w:val="21"/>
        </w:rPr>
      </w:pPr>
      <w:r>
        <w:rPr>
          <w:rFonts w:hint="eastAsia" w:ascii="仿宋" w:hAnsi="仿宋" w:eastAsia="仿宋" w:cs="仿宋"/>
          <w:szCs w:val="21"/>
        </w:rPr>
        <w:t xml:space="preserve">     　传       真 ：</w:t>
      </w:r>
    </w:p>
    <w:p>
      <w:pPr>
        <w:spacing w:line="360" w:lineRule="auto"/>
        <w:rPr>
          <w:rFonts w:ascii="仿宋" w:hAnsi="仿宋" w:eastAsia="仿宋" w:cs="仿宋"/>
          <w:szCs w:val="21"/>
        </w:rPr>
      </w:pPr>
      <w:r>
        <w:rPr>
          <w:rFonts w:hint="eastAsia" w:ascii="仿宋" w:hAnsi="仿宋" w:eastAsia="仿宋" w:cs="仿宋"/>
          <w:szCs w:val="21"/>
        </w:rPr>
        <w:t xml:space="preserve">     　电       话 ：</w:t>
      </w:r>
    </w:p>
    <w:p>
      <w:pPr>
        <w:spacing w:line="360" w:lineRule="auto"/>
        <w:rPr>
          <w:rFonts w:ascii="仿宋" w:hAnsi="仿宋" w:eastAsia="仿宋" w:cs="仿宋"/>
          <w:szCs w:val="21"/>
        </w:rPr>
      </w:pPr>
      <w:r>
        <w:rPr>
          <w:rFonts w:hint="eastAsia" w:ascii="仿宋" w:hAnsi="仿宋" w:eastAsia="仿宋" w:cs="仿宋"/>
          <w:szCs w:val="21"/>
        </w:rPr>
        <w:t xml:space="preserve">       Email  地址 ：</w:t>
      </w:r>
    </w:p>
    <w:p>
      <w:pPr>
        <w:spacing w:line="360" w:lineRule="auto"/>
        <w:rPr>
          <w:rFonts w:ascii="仿宋" w:hAnsi="仿宋" w:eastAsia="仿宋" w:cs="仿宋"/>
          <w:b/>
          <w:szCs w:val="21"/>
        </w:rPr>
      </w:pPr>
      <w:r>
        <w:rPr>
          <w:rFonts w:hint="eastAsia" w:ascii="仿宋" w:hAnsi="仿宋" w:eastAsia="仿宋" w:cs="仿宋"/>
          <w:b/>
          <w:szCs w:val="21"/>
        </w:rPr>
        <w:br w:type="page"/>
      </w:r>
      <w:r>
        <w:rPr>
          <w:rFonts w:hint="eastAsia" w:ascii="仿宋" w:hAnsi="仿宋" w:eastAsia="仿宋" w:cs="仿宋"/>
          <w:b/>
          <w:szCs w:val="21"/>
        </w:rPr>
        <w:t>（二）谈判供应商情况表</w:t>
      </w:r>
    </w:p>
    <w:p>
      <w:pPr>
        <w:spacing w:line="360" w:lineRule="auto"/>
        <w:jc w:val="left"/>
        <w:rPr>
          <w:rFonts w:ascii="仿宋" w:hAnsi="仿宋" w:eastAsia="仿宋" w:cs="仿宋"/>
          <w:szCs w:val="21"/>
        </w:rPr>
      </w:pPr>
      <w:r>
        <w:rPr>
          <w:rFonts w:hint="eastAsia" w:ascii="仿宋" w:hAnsi="仿宋" w:eastAsia="仿宋" w:cs="仿宋"/>
          <w:szCs w:val="21"/>
        </w:rPr>
        <w:t>谈判供应商:(公章)                               填表日期:</w:t>
      </w:r>
    </w:p>
    <w:tbl>
      <w:tblPr>
        <w:tblStyle w:val="29"/>
        <w:tblW w:w="9300"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20"/>
        <w:gridCol w:w="945"/>
        <w:gridCol w:w="923"/>
        <w:gridCol w:w="505"/>
        <w:gridCol w:w="885"/>
        <w:gridCol w:w="417"/>
        <w:gridCol w:w="340"/>
        <w:gridCol w:w="759"/>
        <w:gridCol w:w="757"/>
        <w:gridCol w:w="127"/>
        <w:gridCol w:w="2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单位名称</w:t>
            </w:r>
          </w:p>
        </w:tc>
        <w:tc>
          <w:tcPr>
            <w:tcW w:w="7980" w:type="dxa"/>
            <w:gridSpan w:val="10"/>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详细地址</w:t>
            </w:r>
          </w:p>
        </w:tc>
        <w:tc>
          <w:tcPr>
            <w:tcW w:w="7980" w:type="dxa"/>
            <w:gridSpan w:val="10"/>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主管部门</w:t>
            </w:r>
          </w:p>
        </w:tc>
        <w:tc>
          <w:tcPr>
            <w:tcW w:w="1868" w:type="dxa"/>
            <w:gridSpan w:val="2"/>
          </w:tcPr>
          <w:p>
            <w:pPr>
              <w:spacing w:line="360" w:lineRule="auto"/>
              <w:jc w:val="center"/>
              <w:rPr>
                <w:rFonts w:ascii="仿宋" w:hAnsi="仿宋" w:eastAsia="仿宋" w:cs="仿宋"/>
                <w:szCs w:val="21"/>
              </w:rPr>
            </w:pPr>
          </w:p>
        </w:tc>
        <w:tc>
          <w:tcPr>
            <w:tcW w:w="1390" w:type="dxa"/>
            <w:gridSpan w:val="2"/>
          </w:tcPr>
          <w:p>
            <w:pPr>
              <w:spacing w:line="360" w:lineRule="auto"/>
              <w:jc w:val="center"/>
              <w:rPr>
                <w:rFonts w:ascii="仿宋" w:hAnsi="仿宋" w:eastAsia="仿宋" w:cs="仿宋"/>
                <w:szCs w:val="21"/>
              </w:rPr>
            </w:pPr>
            <w:r>
              <w:rPr>
                <w:rFonts w:hint="eastAsia" w:ascii="仿宋" w:hAnsi="仿宋" w:eastAsia="仿宋" w:cs="仿宋"/>
                <w:szCs w:val="21"/>
              </w:rPr>
              <w:t>法人代表</w:t>
            </w:r>
          </w:p>
        </w:tc>
        <w:tc>
          <w:tcPr>
            <w:tcW w:w="1516" w:type="dxa"/>
            <w:gridSpan w:val="3"/>
          </w:tcPr>
          <w:p>
            <w:pPr>
              <w:spacing w:line="360" w:lineRule="auto"/>
              <w:jc w:val="center"/>
              <w:rPr>
                <w:rFonts w:ascii="仿宋" w:hAnsi="仿宋" w:eastAsia="仿宋" w:cs="仿宋"/>
                <w:szCs w:val="21"/>
              </w:rPr>
            </w:pPr>
          </w:p>
        </w:tc>
        <w:tc>
          <w:tcPr>
            <w:tcW w:w="884" w:type="dxa"/>
            <w:gridSpan w:val="2"/>
          </w:tcPr>
          <w:p>
            <w:pPr>
              <w:spacing w:line="360" w:lineRule="auto"/>
              <w:jc w:val="center"/>
              <w:rPr>
                <w:rFonts w:ascii="仿宋" w:hAnsi="仿宋" w:eastAsia="仿宋" w:cs="仿宋"/>
                <w:szCs w:val="21"/>
              </w:rPr>
            </w:pPr>
            <w:r>
              <w:rPr>
                <w:rFonts w:hint="eastAsia" w:ascii="仿宋" w:hAnsi="仿宋" w:eastAsia="仿宋" w:cs="仿宋"/>
                <w:szCs w:val="21"/>
              </w:rPr>
              <w:t>职务</w:t>
            </w:r>
          </w:p>
        </w:tc>
        <w:tc>
          <w:tcPr>
            <w:tcW w:w="2322" w:type="dxa"/>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经济类型</w:t>
            </w:r>
          </w:p>
        </w:tc>
        <w:tc>
          <w:tcPr>
            <w:tcW w:w="1868" w:type="dxa"/>
            <w:gridSpan w:val="2"/>
          </w:tcPr>
          <w:p>
            <w:pPr>
              <w:spacing w:line="360" w:lineRule="auto"/>
              <w:jc w:val="center"/>
              <w:rPr>
                <w:rFonts w:ascii="仿宋" w:hAnsi="仿宋" w:eastAsia="仿宋" w:cs="仿宋"/>
                <w:szCs w:val="21"/>
              </w:rPr>
            </w:pPr>
          </w:p>
        </w:tc>
        <w:tc>
          <w:tcPr>
            <w:tcW w:w="1390" w:type="dxa"/>
            <w:gridSpan w:val="2"/>
          </w:tcPr>
          <w:p>
            <w:pPr>
              <w:spacing w:line="360" w:lineRule="auto"/>
              <w:jc w:val="center"/>
              <w:rPr>
                <w:rFonts w:ascii="仿宋" w:hAnsi="仿宋" w:eastAsia="仿宋" w:cs="仿宋"/>
                <w:szCs w:val="21"/>
              </w:rPr>
            </w:pPr>
            <w:r>
              <w:rPr>
                <w:rFonts w:hint="eastAsia" w:ascii="仿宋" w:hAnsi="仿宋" w:eastAsia="仿宋" w:cs="仿宋"/>
                <w:szCs w:val="21"/>
              </w:rPr>
              <w:t>授权代表</w:t>
            </w:r>
          </w:p>
        </w:tc>
        <w:tc>
          <w:tcPr>
            <w:tcW w:w="1516" w:type="dxa"/>
            <w:gridSpan w:val="3"/>
          </w:tcPr>
          <w:p>
            <w:pPr>
              <w:spacing w:line="360" w:lineRule="auto"/>
              <w:jc w:val="center"/>
              <w:rPr>
                <w:rFonts w:ascii="仿宋" w:hAnsi="仿宋" w:eastAsia="仿宋" w:cs="仿宋"/>
                <w:szCs w:val="21"/>
              </w:rPr>
            </w:pPr>
          </w:p>
        </w:tc>
        <w:tc>
          <w:tcPr>
            <w:tcW w:w="884" w:type="dxa"/>
            <w:gridSpan w:val="2"/>
          </w:tcPr>
          <w:p>
            <w:pPr>
              <w:spacing w:line="360" w:lineRule="auto"/>
              <w:jc w:val="center"/>
              <w:rPr>
                <w:rFonts w:ascii="仿宋" w:hAnsi="仿宋" w:eastAsia="仿宋" w:cs="仿宋"/>
                <w:szCs w:val="21"/>
              </w:rPr>
            </w:pPr>
            <w:r>
              <w:rPr>
                <w:rFonts w:hint="eastAsia" w:ascii="仿宋" w:hAnsi="仿宋" w:eastAsia="仿宋" w:cs="仿宋"/>
                <w:szCs w:val="21"/>
              </w:rPr>
              <w:t>职务</w:t>
            </w:r>
          </w:p>
        </w:tc>
        <w:tc>
          <w:tcPr>
            <w:tcW w:w="2322" w:type="dxa"/>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邮政编码</w:t>
            </w:r>
          </w:p>
        </w:tc>
        <w:tc>
          <w:tcPr>
            <w:tcW w:w="1868" w:type="dxa"/>
            <w:gridSpan w:val="2"/>
          </w:tcPr>
          <w:p>
            <w:pPr>
              <w:spacing w:line="360" w:lineRule="auto"/>
              <w:jc w:val="center"/>
              <w:rPr>
                <w:rFonts w:ascii="仿宋" w:hAnsi="仿宋" w:eastAsia="仿宋" w:cs="仿宋"/>
                <w:szCs w:val="21"/>
              </w:rPr>
            </w:pPr>
          </w:p>
        </w:tc>
        <w:tc>
          <w:tcPr>
            <w:tcW w:w="1390" w:type="dxa"/>
            <w:gridSpan w:val="2"/>
          </w:tcPr>
          <w:p>
            <w:pPr>
              <w:spacing w:line="360" w:lineRule="auto"/>
              <w:jc w:val="center"/>
              <w:rPr>
                <w:rFonts w:ascii="仿宋" w:hAnsi="仿宋" w:eastAsia="仿宋" w:cs="仿宋"/>
                <w:szCs w:val="21"/>
              </w:rPr>
            </w:pPr>
            <w:r>
              <w:rPr>
                <w:rFonts w:hint="eastAsia" w:ascii="仿宋" w:hAnsi="仿宋" w:eastAsia="仿宋" w:cs="仿宋"/>
                <w:szCs w:val="21"/>
              </w:rPr>
              <w:t>电话</w:t>
            </w:r>
          </w:p>
        </w:tc>
        <w:tc>
          <w:tcPr>
            <w:tcW w:w="1516" w:type="dxa"/>
            <w:gridSpan w:val="3"/>
          </w:tcPr>
          <w:p>
            <w:pPr>
              <w:spacing w:line="360" w:lineRule="auto"/>
              <w:jc w:val="center"/>
              <w:rPr>
                <w:rFonts w:ascii="仿宋" w:hAnsi="仿宋" w:eastAsia="仿宋" w:cs="仿宋"/>
                <w:szCs w:val="21"/>
              </w:rPr>
            </w:pPr>
          </w:p>
        </w:tc>
        <w:tc>
          <w:tcPr>
            <w:tcW w:w="884" w:type="dxa"/>
            <w:gridSpan w:val="2"/>
          </w:tcPr>
          <w:p>
            <w:pPr>
              <w:spacing w:line="360" w:lineRule="auto"/>
              <w:jc w:val="center"/>
              <w:rPr>
                <w:rFonts w:ascii="仿宋" w:hAnsi="仿宋" w:eastAsia="仿宋" w:cs="仿宋"/>
                <w:szCs w:val="21"/>
              </w:rPr>
            </w:pPr>
            <w:r>
              <w:rPr>
                <w:rFonts w:hint="eastAsia" w:ascii="仿宋" w:hAnsi="仿宋" w:eastAsia="仿宋" w:cs="仿宋"/>
                <w:szCs w:val="21"/>
              </w:rPr>
              <w:t>传真</w:t>
            </w:r>
          </w:p>
        </w:tc>
        <w:tc>
          <w:tcPr>
            <w:tcW w:w="2322" w:type="dxa"/>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233" w:hRule="atLeast"/>
        </w:trPr>
        <w:tc>
          <w:tcPr>
            <w:tcW w:w="1320" w:type="dxa"/>
          </w:tcPr>
          <w:p>
            <w:pPr>
              <w:spacing w:line="360" w:lineRule="auto"/>
              <w:rPr>
                <w:rFonts w:ascii="仿宋" w:hAnsi="仿宋" w:eastAsia="仿宋" w:cs="仿宋"/>
                <w:szCs w:val="21"/>
              </w:rPr>
            </w:pPr>
            <w:r>
              <w:rPr>
                <w:rFonts w:hint="eastAsia" w:ascii="仿宋" w:hAnsi="仿宋" w:eastAsia="仿宋" w:cs="仿宋"/>
                <w:szCs w:val="21"/>
              </w:rPr>
              <w:t xml:space="preserve">  单位简历</w:t>
            </w:r>
          </w:p>
          <w:p>
            <w:pPr>
              <w:spacing w:line="360" w:lineRule="auto"/>
              <w:jc w:val="center"/>
              <w:rPr>
                <w:rFonts w:ascii="仿宋" w:hAnsi="仿宋" w:eastAsia="仿宋" w:cs="仿宋"/>
                <w:szCs w:val="21"/>
              </w:rPr>
            </w:pPr>
            <w:r>
              <w:rPr>
                <w:rFonts w:hint="eastAsia" w:ascii="仿宋" w:hAnsi="仿宋" w:eastAsia="仿宋" w:cs="仿宋"/>
                <w:szCs w:val="21"/>
              </w:rPr>
              <w:t>及机构</w:t>
            </w:r>
          </w:p>
        </w:tc>
        <w:tc>
          <w:tcPr>
            <w:tcW w:w="7980" w:type="dxa"/>
            <w:gridSpan w:val="10"/>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43" w:hRule="atLeast"/>
        </w:trPr>
        <w:tc>
          <w:tcPr>
            <w:tcW w:w="1320" w:type="dxa"/>
            <w:tcBorders>
              <w:bottom w:val="nil"/>
            </w:tcBorders>
          </w:tcPr>
          <w:p>
            <w:pPr>
              <w:spacing w:line="360" w:lineRule="auto"/>
              <w:jc w:val="center"/>
              <w:rPr>
                <w:rFonts w:ascii="仿宋" w:hAnsi="仿宋" w:eastAsia="仿宋" w:cs="仿宋"/>
                <w:szCs w:val="21"/>
              </w:rPr>
            </w:pPr>
            <w:r>
              <w:rPr>
                <w:rFonts w:hint="eastAsia" w:ascii="仿宋" w:hAnsi="仿宋" w:eastAsia="仿宋" w:cs="仿宋"/>
                <w:szCs w:val="21"/>
              </w:rPr>
              <w:t>单位主营范围及优势和</w:t>
            </w:r>
          </w:p>
          <w:p>
            <w:pPr>
              <w:spacing w:line="360" w:lineRule="auto"/>
              <w:jc w:val="center"/>
              <w:rPr>
                <w:rFonts w:ascii="仿宋" w:hAnsi="仿宋" w:eastAsia="仿宋" w:cs="仿宋"/>
                <w:szCs w:val="21"/>
              </w:rPr>
            </w:pPr>
            <w:r>
              <w:rPr>
                <w:rFonts w:hint="eastAsia" w:ascii="仿宋" w:hAnsi="仿宋" w:eastAsia="仿宋" w:cs="仿宋"/>
                <w:szCs w:val="21"/>
              </w:rPr>
              <w:t>特长</w:t>
            </w:r>
          </w:p>
        </w:tc>
        <w:tc>
          <w:tcPr>
            <w:tcW w:w="7980" w:type="dxa"/>
            <w:gridSpan w:val="10"/>
            <w:tcBorders>
              <w:bottom w:val="nil"/>
            </w:tcBorders>
          </w:tcPr>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restart"/>
            <w:tcBorders>
              <w:top w:val="nil"/>
              <w:bottom w:val="nil"/>
              <w:right w:val="nil"/>
            </w:tcBorders>
          </w:tcPr>
          <w:p>
            <w:pPr>
              <w:pBdr>
                <w:top w:val="single" w:color="auto" w:sz="6" w:space="1"/>
              </w:pBdr>
              <w:spacing w:line="360" w:lineRule="auto"/>
              <w:jc w:val="center"/>
              <w:rPr>
                <w:rFonts w:ascii="仿宋" w:hAnsi="仿宋" w:eastAsia="仿宋" w:cs="仿宋"/>
                <w:szCs w:val="21"/>
              </w:rPr>
            </w:pPr>
          </w:p>
          <w:p>
            <w:pPr>
              <w:pBdr>
                <w:top w:val="single" w:color="auto" w:sz="6" w:space="1"/>
              </w:pBdr>
              <w:spacing w:line="360" w:lineRule="auto"/>
              <w:jc w:val="center"/>
              <w:rPr>
                <w:rFonts w:ascii="仿宋" w:hAnsi="仿宋" w:eastAsia="仿宋" w:cs="仿宋"/>
                <w:szCs w:val="21"/>
              </w:rPr>
            </w:pPr>
            <w:r>
              <w:rPr>
                <w:rFonts w:hint="eastAsia" w:ascii="仿宋" w:hAnsi="仿宋" w:eastAsia="仿宋" w:cs="仿宋"/>
                <w:szCs w:val="21"/>
              </w:rPr>
              <w:t>企业财务状况</w:t>
            </w:r>
          </w:p>
        </w:tc>
        <w:tc>
          <w:tcPr>
            <w:tcW w:w="945" w:type="dxa"/>
          </w:tcPr>
          <w:p>
            <w:pPr>
              <w:spacing w:line="360" w:lineRule="auto"/>
              <w:jc w:val="center"/>
              <w:rPr>
                <w:rFonts w:ascii="仿宋" w:hAnsi="仿宋" w:eastAsia="仿宋" w:cs="仿宋"/>
                <w:szCs w:val="21"/>
              </w:rPr>
            </w:pPr>
          </w:p>
        </w:tc>
        <w:tc>
          <w:tcPr>
            <w:tcW w:w="1428" w:type="dxa"/>
            <w:gridSpan w:val="2"/>
          </w:tcPr>
          <w:p>
            <w:pPr>
              <w:spacing w:line="360" w:lineRule="auto"/>
              <w:jc w:val="center"/>
              <w:rPr>
                <w:rFonts w:ascii="仿宋" w:hAnsi="仿宋" w:eastAsia="仿宋" w:cs="仿宋"/>
                <w:szCs w:val="21"/>
              </w:rPr>
            </w:pPr>
            <w:r>
              <w:rPr>
                <w:rFonts w:hint="eastAsia" w:ascii="仿宋" w:hAnsi="仿宋" w:eastAsia="仿宋" w:cs="仿宋"/>
                <w:szCs w:val="21"/>
              </w:rPr>
              <w:t>收入总额</w:t>
            </w:r>
          </w:p>
        </w:tc>
        <w:tc>
          <w:tcPr>
            <w:tcW w:w="1642" w:type="dxa"/>
            <w:gridSpan w:val="3"/>
          </w:tcPr>
          <w:p>
            <w:pPr>
              <w:spacing w:line="360" w:lineRule="auto"/>
              <w:jc w:val="center"/>
              <w:rPr>
                <w:rFonts w:ascii="仿宋" w:hAnsi="仿宋" w:eastAsia="仿宋" w:cs="仿宋"/>
                <w:szCs w:val="21"/>
              </w:rPr>
            </w:pPr>
            <w:r>
              <w:rPr>
                <w:rFonts w:hint="eastAsia" w:ascii="仿宋" w:hAnsi="仿宋" w:eastAsia="仿宋" w:cs="仿宋"/>
                <w:szCs w:val="21"/>
              </w:rPr>
              <w:t>利润总额</w:t>
            </w:r>
          </w:p>
        </w:tc>
        <w:tc>
          <w:tcPr>
            <w:tcW w:w="1516" w:type="dxa"/>
            <w:gridSpan w:val="2"/>
          </w:tcPr>
          <w:p>
            <w:pPr>
              <w:spacing w:line="360" w:lineRule="auto"/>
              <w:jc w:val="center"/>
              <w:rPr>
                <w:rFonts w:ascii="仿宋" w:hAnsi="仿宋" w:eastAsia="仿宋" w:cs="仿宋"/>
                <w:szCs w:val="21"/>
              </w:rPr>
            </w:pPr>
            <w:r>
              <w:rPr>
                <w:rFonts w:hint="eastAsia" w:ascii="仿宋" w:hAnsi="仿宋" w:eastAsia="仿宋" w:cs="仿宋"/>
                <w:szCs w:val="21"/>
              </w:rPr>
              <w:t>税后利润</w:t>
            </w:r>
          </w:p>
        </w:tc>
        <w:tc>
          <w:tcPr>
            <w:tcW w:w="2449" w:type="dxa"/>
            <w:gridSpan w:val="2"/>
          </w:tcPr>
          <w:p>
            <w:pPr>
              <w:spacing w:line="360" w:lineRule="auto"/>
              <w:jc w:val="center"/>
              <w:rPr>
                <w:rFonts w:ascii="仿宋" w:hAnsi="仿宋" w:eastAsia="仿宋" w:cs="仿宋"/>
                <w:szCs w:val="21"/>
              </w:rPr>
            </w:pPr>
            <w:r>
              <w:rPr>
                <w:rFonts w:hint="eastAsia" w:ascii="仿宋" w:hAnsi="仿宋" w:eastAsia="仿宋" w:cs="仿宋"/>
                <w:szCs w:val="21"/>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bottom w:val="nil"/>
              <w:right w:val="nil"/>
            </w:tcBorders>
          </w:tcPr>
          <w:p>
            <w:pPr>
              <w:spacing w:line="360" w:lineRule="auto"/>
              <w:rPr>
                <w:rFonts w:ascii="仿宋" w:hAnsi="仿宋" w:eastAsia="仿宋" w:cs="仿宋"/>
                <w:szCs w:val="21"/>
              </w:rPr>
            </w:pPr>
          </w:p>
        </w:tc>
        <w:tc>
          <w:tcPr>
            <w:tcW w:w="945" w:type="dxa"/>
          </w:tcPr>
          <w:p>
            <w:pPr>
              <w:spacing w:line="360" w:lineRule="auto"/>
              <w:jc w:val="center"/>
              <w:rPr>
                <w:rFonts w:ascii="仿宋" w:hAnsi="仿宋" w:eastAsia="仿宋" w:cs="仿宋"/>
                <w:szCs w:val="21"/>
              </w:rPr>
            </w:pPr>
            <w:r>
              <w:rPr>
                <w:rFonts w:hint="eastAsia" w:ascii="仿宋" w:hAnsi="仿宋" w:eastAsia="仿宋" w:cs="仿宋"/>
                <w:szCs w:val="21"/>
              </w:rPr>
              <w:t>2015年</w:t>
            </w:r>
          </w:p>
        </w:tc>
        <w:tc>
          <w:tcPr>
            <w:tcW w:w="1428" w:type="dxa"/>
            <w:gridSpan w:val="2"/>
          </w:tcPr>
          <w:p>
            <w:pPr>
              <w:spacing w:line="360" w:lineRule="auto"/>
              <w:rPr>
                <w:rFonts w:ascii="仿宋" w:hAnsi="仿宋" w:eastAsia="仿宋" w:cs="仿宋"/>
                <w:szCs w:val="21"/>
              </w:rPr>
            </w:pPr>
          </w:p>
        </w:tc>
        <w:tc>
          <w:tcPr>
            <w:tcW w:w="1642" w:type="dxa"/>
            <w:gridSpan w:val="3"/>
          </w:tcPr>
          <w:p>
            <w:pPr>
              <w:spacing w:line="360" w:lineRule="auto"/>
              <w:rPr>
                <w:rFonts w:ascii="仿宋" w:hAnsi="仿宋" w:eastAsia="仿宋" w:cs="仿宋"/>
                <w:szCs w:val="21"/>
              </w:rPr>
            </w:pPr>
          </w:p>
        </w:tc>
        <w:tc>
          <w:tcPr>
            <w:tcW w:w="1516" w:type="dxa"/>
            <w:gridSpan w:val="2"/>
          </w:tcPr>
          <w:p>
            <w:pPr>
              <w:spacing w:line="360" w:lineRule="auto"/>
              <w:rPr>
                <w:rFonts w:ascii="仿宋" w:hAnsi="仿宋" w:eastAsia="仿宋" w:cs="仿宋"/>
                <w:szCs w:val="21"/>
              </w:rPr>
            </w:pPr>
          </w:p>
        </w:tc>
        <w:tc>
          <w:tcPr>
            <w:tcW w:w="2449" w:type="dxa"/>
            <w:gridSpan w:val="2"/>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bottom w:val="nil"/>
            </w:tcBorders>
          </w:tcPr>
          <w:p>
            <w:pPr>
              <w:spacing w:line="360" w:lineRule="auto"/>
              <w:rPr>
                <w:rFonts w:ascii="仿宋" w:hAnsi="仿宋" w:eastAsia="仿宋" w:cs="仿宋"/>
                <w:szCs w:val="21"/>
              </w:rPr>
            </w:pPr>
          </w:p>
        </w:tc>
        <w:tc>
          <w:tcPr>
            <w:tcW w:w="945" w:type="dxa"/>
          </w:tcPr>
          <w:p>
            <w:pPr>
              <w:spacing w:line="360" w:lineRule="auto"/>
              <w:jc w:val="center"/>
              <w:rPr>
                <w:rFonts w:ascii="仿宋" w:hAnsi="仿宋" w:eastAsia="仿宋" w:cs="仿宋"/>
                <w:szCs w:val="21"/>
              </w:rPr>
            </w:pPr>
            <w:r>
              <w:rPr>
                <w:rFonts w:hint="eastAsia" w:ascii="仿宋" w:hAnsi="仿宋" w:eastAsia="仿宋" w:cs="仿宋"/>
                <w:szCs w:val="21"/>
              </w:rPr>
              <w:t>2016年</w:t>
            </w:r>
          </w:p>
        </w:tc>
        <w:tc>
          <w:tcPr>
            <w:tcW w:w="1428" w:type="dxa"/>
            <w:gridSpan w:val="2"/>
          </w:tcPr>
          <w:p>
            <w:pPr>
              <w:spacing w:line="360" w:lineRule="auto"/>
              <w:rPr>
                <w:rFonts w:ascii="仿宋" w:hAnsi="仿宋" w:eastAsia="仿宋" w:cs="仿宋"/>
                <w:szCs w:val="21"/>
              </w:rPr>
            </w:pPr>
          </w:p>
        </w:tc>
        <w:tc>
          <w:tcPr>
            <w:tcW w:w="1642" w:type="dxa"/>
            <w:gridSpan w:val="3"/>
          </w:tcPr>
          <w:p>
            <w:pPr>
              <w:spacing w:line="360" w:lineRule="auto"/>
              <w:rPr>
                <w:rFonts w:ascii="仿宋" w:hAnsi="仿宋" w:eastAsia="仿宋" w:cs="仿宋"/>
                <w:szCs w:val="21"/>
              </w:rPr>
            </w:pPr>
          </w:p>
        </w:tc>
        <w:tc>
          <w:tcPr>
            <w:tcW w:w="1516" w:type="dxa"/>
            <w:gridSpan w:val="2"/>
          </w:tcPr>
          <w:p>
            <w:pPr>
              <w:spacing w:line="360" w:lineRule="auto"/>
              <w:rPr>
                <w:rFonts w:ascii="仿宋" w:hAnsi="仿宋" w:eastAsia="仿宋" w:cs="仿宋"/>
                <w:szCs w:val="21"/>
              </w:rPr>
            </w:pPr>
          </w:p>
        </w:tc>
        <w:tc>
          <w:tcPr>
            <w:tcW w:w="2449" w:type="dxa"/>
            <w:gridSpan w:val="2"/>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945"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2017年</w:t>
            </w:r>
          </w:p>
        </w:tc>
        <w:tc>
          <w:tcPr>
            <w:tcW w:w="1428" w:type="dxa"/>
            <w:gridSpan w:val="2"/>
          </w:tcPr>
          <w:p>
            <w:pPr>
              <w:spacing w:line="360" w:lineRule="auto"/>
              <w:rPr>
                <w:rFonts w:ascii="仿宋" w:hAnsi="仿宋" w:eastAsia="仿宋" w:cs="仿宋"/>
                <w:szCs w:val="21"/>
              </w:rPr>
            </w:pPr>
          </w:p>
        </w:tc>
        <w:tc>
          <w:tcPr>
            <w:tcW w:w="1642" w:type="dxa"/>
            <w:gridSpan w:val="3"/>
          </w:tcPr>
          <w:p>
            <w:pPr>
              <w:spacing w:line="360" w:lineRule="auto"/>
              <w:rPr>
                <w:rFonts w:ascii="仿宋" w:hAnsi="仿宋" w:eastAsia="仿宋" w:cs="仿宋"/>
                <w:szCs w:val="21"/>
              </w:rPr>
            </w:pPr>
          </w:p>
        </w:tc>
        <w:tc>
          <w:tcPr>
            <w:tcW w:w="1516" w:type="dxa"/>
            <w:gridSpan w:val="2"/>
          </w:tcPr>
          <w:p>
            <w:pPr>
              <w:spacing w:line="360" w:lineRule="auto"/>
              <w:rPr>
                <w:rFonts w:ascii="仿宋" w:hAnsi="仿宋" w:eastAsia="仿宋" w:cs="仿宋"/>
                <w:szCs w:val="21"/>
              </w:rPr>
            </w:pPr>
          </w:p>
        </w:tc>
        <w:tc>
          <w:tcPr>
            <w:tcW w:w="2449" w:type="dxa"/>
            <w:gridSpan w:val="2"/>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restart"/>
          </w:tcPr>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r>
              <w:rPr>
                <w:rFonts w:hint="eastAsia" w:ascii="仿宋" w:hAnsi="仿宋" w:eastAsia="仿宋" w:cs="仿宋"/>
                <w:szCs w:val="21"/>
              </w:rPr>
              <w:t>业绩情况</w:t>
            </w:r>
          </w:p>
        </w:tc>
        <w:tc>
          <w:tcPr>
            <w:tcW w:w="3675" w:type="dxa"/>
            <w:gridSpan w:val="5"/>
          </w:tcPr>
          <w:p>
            <w:pPr>
              <w:spacing w:line="360" w:lineRule="auto"/>
              <w:jc w:val="center"/>
              <w:rPr>
                <w:rFonts w:ascii="仿宋" w:hAnsi="仿宋" w:eastAsia="仿宋" w:cs="仿宋"/>
                <w:szCs w:val="21"/>
              </w:rPr>
            </w:pPr>
            <w:r>
              <w:rPr>
                <w:rFonts w:hint="eastAsia" w:ascii="仿宋" w:hAnsi="仿宋" w:eastAsia="仿宋" w:cs="仿宋"/>
                <w:szCs w:val="21"/>
              </w:rPr>
              <w:t>项目名称</w:t>
            </w:r>
          </w:p>
        </w:tc>
        <w:tc>
          <w:tcPr>
            <w:tcW w:w="4305" w:type="dxa"/>
            <w:gridSpan w:val="5"/>
          </w:tcPr>
          <w:p>
            <w:pPr>
              <w:spacing w:line="360" w:lineRule="auto"/>
              <w:jc w:val="center"/>
              <w:rPr>
                <w:rFonts w:ascii="仿宋" w:hAnsi="仿宋" w:eastAsia="仿宋" w:cs="仿宋"/>
                <w:szCs w:val="21"/>
              </w:rPr>
            </w:pPr>
            <w:r>
              <w:rPr>
                <w:rFonts w:hint="eastAsia" w:ascii="仿宋" w:hAnsi="仿宋" w:eastAsia="仿宋" w:cs="仿宋"/>
                <w:szCs w:val="21"/>
              </w:rPr>
              <w:t>上年销售值（万元）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3675" w:type="dxa"/>
            <w:gridSpan w:val="5"/>
          </w:tcPr>
          <w:p>
            <w:pPr>
              <w:spacing w:line="360" w:lineRule="auto"/>
              <w:rPr>
                <w:rFonts w:ascii="仿宋" w:hAnsi="仿宋" w:eastAsia="仿宋" w:cs="仿宋"/>
                <w:szCs w:val="21"/>
              </w:rPr>
            </w:pPr>
          </w:p>
        </w:tc>
        <w:tc>
          <w:tcPr>
            <w:tcW w:w="4305" w:type="dxa"/>
            <w:gridSpan w:val="5"/>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3675" w:type="dxa"/>
            <w:gridSpan w:val="5"/>
          </w:tcPr>
          <w:p>
            <w:pPr>
              <w:spacing w:line="360" w:lineRule="auto"/>
              <w:rPr>
                <w:rFonts w:ascii="仿宋" w:hAnsi="仿宋" w:eastAsia="仿宋" w:cs="仿宋"/>
                <w:szCs w:val="21"/>
              </w:rPr>
            </w:pPr>
          </w:p>
        </w:tc>
        <w:tc>
          <w:tcPr>
            <w:tcW w:w="4305" w:type="dxa"/>
            <w:gridSpan w:val="5"/>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3675" w:type="dxa"/>
            <w:gridSpan w:val="5"/>
          </w:tcPr>
          <w:p>
            <w:pPr>
              <w:spacing w:line="360" w:lineRule="auto"/>
              <w:rPr>
                <w:rFonts w:ascii="仿宋" w:hAnsi="仿宋" w:eastAsia="仿宋" w:cs="仿宋"/>
                <w:szCs w:val="21"/>
              </w:rPr>
            </w:pPr>
          </w:p>
        </w:tc>
        <w:tc>
          <w:tcPr>
            <w:tcW w:w="4305" w:type="dxa"/>
            <w:gridSpan w:val="5"/>
          </w:tcPr>
          <w:p>
            <w:pPr>
              <w:spacing w:line="360" w:lineRule="auto"/>
              <w:rPr>
                <w:rFonts w:ascii="仿宋" w:hAnsi="仿宋" w:eastAsia="仿宋" w:cs="仿宋"/>
                <w:szCs w:val="21"/>
              </w:rPr>
            </w:pPr>
          </w:p>
        </w:tc>
      </w:tr>
    </w:tbl>
    <w:p>
      <w:pPr>
        <w:spacing w:line="360" w:lineRule="auto"/>
        <w:rPr>
          <w:rFonts w:ascii="仿宋" w:hAnsi="仿宋" w:eastAsia="仿宋" w:cs="仿宋"/>
          <w:b/>
          <w:szCs w:val="21"/>
        </w:rPr>
      </w:pPr>
      <w:r>
        <w:rPr>
          <w:rFonts w:hint="eastAsia" w:ascii="仿宋" w:hAnsi="仿宋" w:eastAsia="仿宋" w:cs="仿宋"/>
          <w:b/>
          <w:szCs w:val="21"/>
        </w:rPr>
        <w:t>（三）营业执照（副本复印件，加盖公章）或事业单位法人证书（副本复印件，加盖公章）或自然人身份证明（身份证复印件）</w:t>
      </w: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r>
        <w:rPr>
          <w:rFonts w:hint="eastAsia" w:ascii="仿宋" w:hAnsi="仿宋" w:eastAsia="仿宋" w:cs="仿宋"/>
          <w:b/>
          <w:szCs w:val="21"/>
        </w:rPr>
        <w:t>（四）谈判供应商参加政府采购活动近三年内无违法记录的说明（格式自定，原件）</w:t>
      </w:r>
    </w:p>
    <w:p>
      <w:pPr>
        <w:snapToGrid w:val="0"/>
        <w:spacing w:line="360" w:lineRule="auto"/>
        <w:rPr>
          <w:rFonts w:ascii="仿宋" w:hAnsi="仿宋" w:eastAsia="仿宋" w:cs="仿宋"/>
          <w:b/>
          <w:szCs w:val="21"/>
        </w:rPr>
      </w:pPr>
      <w:r>
        <w:rPr>
          <w:rFonts w:hint="eastAsia" w:ascii="仿宋" w:hAnsi="仿宋" w:eastAsia="仿宋" w:cs="仿宋"/>
          <w:b/>
          <w:szCs w:val="21"/>
        </w:rPr>
        <w:t>（五）谈判供应商企业类型声明函、制造商企业类型声明函（原件，符合《政府采购促进中小企业发展暂行办法》（财库[2011]181号）价格扣减条件的谈判供应商须提交）</w:t>
      </w: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widowControl/>
        <w:jc w:val="left"/>
        <w:rPr>
          <w:rFonts w:ascii="仿宋" w:hAnsi="仿宋" w:eastAsia="仿宋" w:cs="仿宋"/>
          <w:b/>
          <w:szCs w:val="21"/>
        </w:rPr>
      </w:pPr>
      <w:r>
        <w:rPr>
          <w:rFonts w:hint="eastAsia" w:ascii="仿宋" w:hAnsi="仿宋" w:eastAsia="仿宋" w:cs="仿宋"/>
          <w:b/>
          <w:szCs w:val="21"/>
        </w:rPr>
        <w:br w:type="page"/>
      </w:r>
    </w:p>
    <w:p>
      <w:pPr>
        <w:snapToGrid w:val="0"/>
        <w:spacing w:line="360" w:lineRule="auto"/>
        <w:jc w:val="center"/>
        <w:rPr>
          <w:rFonts w:ascii="仿宋" w:hAnsi="仿宋" w:eastAsia="仿宋" w:cs="仿宋"/>
          <w:b/>
          <w:szCs w:val="21"/>
        </w:rPr>
      </w:pPr>
      <w:r>
        <w:rPr>
          <w:rFonts w:hint="eastAsia" w:ascii="仿宋" w:hAnsi="仿宋" w:eastAsia="仿宋" w:cs="仿宋"/>
          <w:b/>
          <w:szCs w:val="21"/>
        </w:rPr>
        <w:t>谈判供应商企业类型声明函（格式）</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本公司郑重声明，根据《政府采购促进中小企业发展暂行办法》（财库[2011]181号）的规定，本公司为______（请填写：大型、中型、小型、微型）企业。即，本公司同时满足以下条件：</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根据《工业和信息化部、国家统计局、国家发展和改革委员会、财政部关于印发中小企业划型标准规定的通知》（工信部联企业[2011]300号）规定的划分标准，本公司为______（请填写：大型、中型、小型、微型）企业。</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2.本公司参加______单位的______项目采购活动（以下形式选择填写）：</w:t>
      </w:r>
    </w:p>
    <w:p>
      <w:pPr>
        <w:snapToGrid w:val="0"/>
        <w:spacing w:line="360" w:lineRule="auto"/>
        <w:ind w:firstLine="210" w:firstLineChars="100"/>
        <w:rPr>
          <w:rFonts w:ascii="仿宋" w:hAnsi="仿宋" w:eastAsia="仿宋" w:cs="仿宋"/>
          <w:szCs w:val="21"/>
        </w:rPr>
      </w:pPr>
      <w:r>
        <w:rPr>
          <w:rFonts w:hint="eastAsia" w:ascii="仿宋" w:hAnsi="仿宋" w:eastAsia="仿宋" w:cs="仿宋"/>
          <w:szCs w:val="21"/>
        </w:rPr>
        <w:t>（1）□本公司直接提供本企业制造的货物，由本企业承担工程、提供服务。</w:t>
      </w:r>
    </w:p>
    <w:p>
      <w:pPr>
        <w:snapToGrid w:val="0"/>
        <w:spacing w:line="360" w:lineRule="auto"/>
        <w:ind w:firstLine="210" w:firstLineChars="100"/>
        <w:rPr>
          <w:rFonts w:ascii="仿宋" w:hAnsi="仿宋" w:eastAsia="仿宋" w:cs="仿宋"/>
          <w:szCs w:val="21"/>
        </w:rPr>
      </w:pPr>
      <w:r>
        <w:rPr>
          <w:rFonts w:hint="eastAsia" w:ascii="仿宋" w:hAnsi="仿宋" w:eastAsia="仿宋" w:cs="仿宋"/>
          <w:szCs w:val="21"/>
        </w:rPr>
        <w:t>（2）□本公司为代理商，提供其他______（请填写：中型、小型、微型）企业制造的货物。本条所称货物不包括使用大型企业注册商标的货物。（后附制造商企业类型声明函）</w:t>
      </w:r>
    </w:p>
    <w:p>
      <w:pPr>
        <w:snapToGrid w:val="0"/>
        <w:spacing w:line="360" w:lineRule="auto"/>
        <w:ind w:firstLine="210" w:firstLineChars="100"/>
        <w:rPr>
          <w:rFonts w:ascii="仿宋" w:hAnsi="仿宋" w:eastAsia="仿宋" w:cs="仿宋"/>
          <w:szCs w:val="21"/>
        </w:rPr>
      </w:pPr>
      <w:r>
        <w:rPr>
          <w:rFonts w:hint="eastAsia" w:ascii="仿宋" w:hAnsi="仿宋" w:eastAsia="仿宋" w:cs="仿宋"/>
          <w:szCs w:val="21"/>
        </w:rPr>
        <w:t>（3）□本公司为联合体一方，提供本企业制造的货物，由本企业承担工程、提供服务。我公司提供协议合同金额占到共同谈判协议合同总金额的比例为</w:t>
      </w:r>
      <w:r>
        <w:rPr>
          <w:rFonts w:hint="eastAsia" w:ascii="仿宋" w:hAnsi="仿宋" w:eastAsia="仿宋" w:cs="仿宋"/>
          <w:szCs w:val="21"/>
          <w:u w:val="single"/>
        </w:rPr>
        <w:t xml:space="preserve">       </w:t>
      </w:r>
      <w:r>
        <w:rPr>
          <w:rFonts w:hint="eastAsia" w:ascii="仿宋" w:hAnsi="仿宋" w:eastAsia="仿宋" w:cs="仿宋"/>
          <w:szCs w:val="21"/>
        </w:rPr>
        <w:t>。</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snapToGrid w:val="0"/>
        <w:spacing w:line="360" w:lineRule="auto"/>
        <w:rPr>
          <w:rFonts w:ascii="仿宋" w:hAnsi="仿宋" w:eastAsia="仿宋" w:cs="仿宋"/>
          <w:szCs w:val="21"/>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企业名称（盖章）：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日  期：</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br w:type="page"/>
      </w:r>
    </w:p>
    <w:p>
      <w:pPr>
        <w:snapToGrid w:val="0"/>
        <w:spacing w:line="360" w:lineRule="auto"/>
        <w:jc w:val="center"/>
        <w:rPr>
          <w:rFonts w:ascii="仿宋" w:hAnsi="仿宋" w:eastAsia="仿宋" w:cs="仿宋"/>
          <w:b/>
          <w:szCs w:val="21"/>
        </w:rPr>
      </w:pPr>
      <w:r>
        <w:rPr>
          <w:rFonts w:hint="eastAsia" w:ascii="仿宋" w:hAnsi="仿宋" w:eastAsia="仿宋" w:cs="仿宋"/>
          <w:b/>
          <w:szCs w:val="21"/>
        </w:rPr>
        <w:t>制造商企业类型声明函（格式）</w:t>
      </w:r>
    </w:p>
    <w:p>
      <w:pPr>
        <w:snapToGrid w:val="0"/>
        <w:spacing w:line="360" w:lineRule="auto"/>
        <w:jc w:val="center"/>
        <w:rPr>
          <w:rFonts w:ascii="仿宋" w:hAnsi="仿宋" w:eastAsia="仿宋" w:cs="仿宋"/>
          <w:b/>
          <w:szCs w:val="21"/>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本公司作为______单位的______ 项目的设备制造商，参加政府采购活动。根据《政府采购促进中小企业发展暂行办法》（财库[2011]181号）的规定，及《工业和信息化部、国家统计局、国家发展和改革委员会、财政部关于印发中小企业划型标准规定的通知》（工信部联企业[2011]300号）规定的划分标准，作出如下声明：</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本公司为______（请填写：中型、小型、微型）企业，提供本企业制造的货物，由本企业承担工程、提供服务。</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widowControl/>
        <w:spacing w:line="360" w:lineRule="auto"/>
        <w:ind w:firstLine="4515" w:firstLineChars="2150"/>
        <w:jc w:val="left"/>
        <w:rPr>
          <w:rFonts w:ascii="仿宋" w:hAnsi="仿宋" w:eastAsia="仿宋" w:cs="仿宋"/>
          <w:kern w:val="0"/>
          <w:szCs w:val="21"/>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企业名称（盖章）：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日  期：</w:t>
      </w:r>
    </w:p>
    <w:p>
      <w:pPr>
        <w:snapToGrid w:val="0"/>
        <w:spacing w:line="360" w:lineRule="auto"/>
        <w:rPr>
          <w:rFonts w:ascii="仿宋" w:hAnsi="仿宋" w:eastAsia="仿宋" w:cs="仿宋"/>
          <w:b/>
          <w:szCs w:val="21"/>
        </w:rPr>
      </w:pPr>
      <w:r>
        <w:rPr>
          <w:rFonts w:hint="eastAsia" w:ascii="仿宋" w:hAnsi="仿宋" w:eastAsia="仿宋" w:cs="仿宋"/>
          <w:kern w:val="0"/>
          <w:szCs w:val="21"/>
        </w:rPr>
        <w:br w:type="page"/>
      </w:r>
      <w:r>
        <w:rPr>
          <w:rFonts w:hint="eastAsia" w:ascii="仿宋" w:hAnsi="仿宋" w:eastAsia="仿宋" w:cs="仿宋"/>
          <w:b/>
          <w:szCs w:val="21"/>
        </w:rPr>
        <w:t>（九）其他必要的内容</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1、投标人认为可以证明其工作和项目能力的其他资质文件</w:t>
      </w:r>
    </w:p>
    <w:p>
      <w:pPr>
        <w:spacing w:line="360" w:lineRule="auto"/>
        <w:ind w:firstLine="105" w:firstLineChars="50"/>
        <w:rPr>
          <w:rFonts w:ascii="仿宋" w:hAnsi="仿宋" w:eastAsia="仿宋" w:cs="仿宋"/>
          <w:b/>
          <w:szCs w:val="21"/>
        </w:rPr>
      </w:pPr>
      <w:r>
        <w:rPr>
          <w:rFonts w:hint="eastAsia" w:ascii="仿宋" w:hAnsi="仿宋" w:eastAsia="仿宋" w:cs="仿宋"/>
          <w:b/>
          <w:szCs w:val="21"/>
        </w:rPr>
        <w:t>附件四：采购需求响应方案</w:t>
      </w:r>
    </w:p>
    <w:p>
      <w:pPr>
        <w:snapToGrid w:val="0"/>
        <w:spacing w:line="360" w:lineRule="auto"/>
        <w:ind w:firstLine="420" w:firstLineChars="200"/>
        <w:rPr>
          <w:rFonts w:ascii="仿宋" w:hAnsi="仿宋" w:eastAsia="仿宋" w:cs="仿宋"/>
          <w:b/>
          <w:szCs w:val="21"/>
        </w:rPr>
      </w:pPr>
    </w:p>
    <w:p>
      <w:pPr>
        <w:snapToGrid w:val="0"/>
        <w:spacing w:line="360" w:lineRule="auto"/>
        <w:ind w:firstLine="420" w:firstLineChars="200"/>
        <w:rPr>
          <w:rFonts w:ascii="仿宋" w:hAnsi="仿宋" w:eastAsia="仿宋" w:cs="仿宋"/>
          <w:b/>
          <w:szCs w:val="21"/>
        </w:rPr>
      </w:pPr>
      <w:r>
        <w:rPr>
          <w:rFonts w:hint="eastAsia" w:ascii="仿宋" w:hAnsi="仿宋" w:eastAsia="仿宋" w:cs="仿宋"/>
          <w:szCs w:val="21"/>
        </w:rPr>
        <w:br w:type="page"/>
      </w:r>
      <w:r>
        <w:rPr>
          <w:rFonts w:hint="eastAsia" w:ascii="仿宋" w:hAnsi="仿宋" w:eastAsia="仿宋" w:cs="仿宋"/>
          <w:b/>
          <w:szCs w:val="21"/>
        </w:rPr>
        <w:t>附件五：</w:t>
      </w:r>
    </w:p>
    <w:tbl>
      <w:tblPr>
        <w:tblStyle w:val="29"/>
        <w:tblW w:w="8520" w:type="dxa"/>
        <w:tblInd w:w="93" w:type="dxa"/>
        <w:tblLayout w:type="fixed"/>
        <w:tblCellMar>
          <w:top w:w="0" w:type="dxa"/>
          <w:left w:w="108" w:type="dxa"/>
          <w:bottom w:w="0" w:type="dxa"/>
          <w:right w:w="108" w:type="dxa"/>
        </w:tblCellMar>
      </w:tblPr>
      <w:tblGrid>
        <w:gridCol w:w="1801"/>
        <w:gridCol w:w="1958"/>
        <w:gridCol w:w="1643"/>
        <w:gridCol w:w="3118"/>
      </w:tblGrid>
      <w:tr>
        <w:tblPrEx>
          <w:tblLayout w:type="fixed"/>
          <w:tblCellMar>
            <w:top w:w="0" w:type="dxa"/>
            <w:left w:w="108" w:type="dxa"/>
            <w:bottom w:w="0" w:type="dxa"/>
            <w:right w:w="108" w:type="dxa"/>
          </w:tblCellMar>
        </w:tblPrEx>
        <w:trPr>
          <w:trHeight w:val="960" w:hRule="atLeast"/>
        </w:trPr>
        <w:tc>
          <w:tcPr>
            <w:tcW w:w="8520" w:type="dxa"/>
            <w:gridSpan w:val="4"/>
            <w:tcBorders>
              <w:top w:val="nil"/>
              <w:left w:val="nil"/>
              <w:bottom w:val="single" w:color="auto" w:sz="4" w:space="0"/>
              <w:right w:val="nil"/>
            </w:tcBorders>
            <w:vAlign w:val="center"/>
          </w:tcPr>
          <w:p>
            <w:pPr>
              <w:snapToGrid w:val="0"/>
              <w:spacing w:line="360" w:lineRule="auto"/>
              <w:jc w:val="center"/>
              <w:rPr>
                <w:rFonts w:ascii="仿宋" w:hAnsi="仿宋" w:eastAsia="仿宋" w:cs="仿宋"/>
                <w:b/>
                <w:bCs/>
                <w:kern w:val="0"/>
                <w:szCs w:val="21"/>
              </w:rPr>
            </w:pPr>
            <w:r>
              <w:rPr>
                <w:rFonts w:hint="eastAsia" w:ascii="仿宋" w:hAnsi="仿宋" w:eastAsia="仿宋" w:cs="仿宋"/>
                <w:b/>
                <w:bCs/>
                <w:kern w:val="0"/>
                <w:szCs w:val="21"/>
              </w:rPr>
              <w:t>最后报价表</w:t>
            </w:r>
            <w:r>
              <w:rPr>
                <w:rFonts w:hint="eastAsia" w:ascii="仿宋" w:hAnsi="仿宋" w:eastAsia="仿宋" w:cs="仿宋"/>
                <w:szCs w:val="21"/>
              </w:rPr>
              <w:t>（最后报价时提交）</w:t>
            </w:r>
          </w:p>
        </w:tc>
      </w:tr>
      <w:tr>
        <w:tblPrEx>
          <w:tblLayout w:type="fixed"/>
          <w:tblCellMar>
            <w:top w:w="0" w:type="dxa"/>
            <w:left w:w="108" w:type="dxa"/>
            <w:bottom w:w="0" w:type="dxa"/>
            <w:right w:w="108" w:type="dxa"/>
          </w:tblCellMar>
        </w:tblPrEx>
        <w:trPr>
          <w:trHeight w:val="768" w:hRule="atLeast"/>
        </w:trPr>
        <w:tc>
          <w:tcPr>
            <w:tcW w:w="18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项目名称</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695"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项目编号</w:t>
            </w:r>
          </w:p>
        </w:tc>
        <w:tc>
          <w:tcPr>
            <w:tcW w:w="6719" w:type="dxa"/>
            <w:gridSpan w:val="3"/>
            <w:tcBorders>
              <w:top w:val="single" w:color="auto" w:sz="4" w:space="0"/>
              <w:left w:val="nil"/>
              <w:bottom w:val="single" w:color="auto" w:sz="4" w:space="0"/>
              <w:right w:val="single" w:color="000000" w:sz="4" w:space="0"/>
            </w:tcBorders>
            <w:vAlign w:val="center"/>
          </w:tcPr>
          <w:p>
            <w:pPr>
              <w:widowControl/>
              <w:spacing w:line="360" w:lineRule="auto"/>
              <w:jc w:val="left"/>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825"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谈判日期</w:t>
            </w:r>
          </w:p>
        </w:tc>
        <w:tc>
          <w:tcPr>
            <w:tcW w:w="1958" w:type="dxa"/>
            <w:tcBorders>
              <w:top w:val="nil"/>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xml:space="preserve"> </w:t>
            </w:r>
          </w:p>
        </w:tc>
        <w:tc>
          <w:tcPr>
            <w:tcW w:w="1643" w:type="dxa"/>
            <w:tcBorders>
              <w:top w:val="nil"/>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谈判地点</w:t>
            </w:r>
          </w:p>
        </w:tc>
        <w:tc>
          <w:tcPr>
            <w:tcW w:w="3118" w:type="dxa"/>
            <w:tcBorders>
              <w:top w:val="nil"/>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防灾科技学院</w:t>
            </w:r>
          </w:p>
        </w:tc>
      </w:tr>
      <w:tr>
        <w:tblPrEx>
          <w:tblLayout w:type="fixed"/>
          <w:tblCellMar>
            <w:top w:w="0" w:type="dxa"/>
            <w:left w:w="108" w:type="dxa"/>
            <w:bottom w:w="0" w:type="dxa"/>
            <w:right w:w="108" w:type="dxa"/>
          </w:tblCellMar>
        </w:tblPrEx>
        <w:trPr>
          <w:trHeight w:val="840"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公司名称</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840"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首次报价</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840"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最后报价</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6913" w:hRule="atLeast"/>
        </w:trPr>
        <w:tc>
          <w:tcPr>
            <w:tcW w:w="852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w:t>
            </w:r>
          </w:p>
          <w:p>
            <w:pPr>
              <w:widowControl/>
              <w:spacing w:line="360" w:lineRule="auto"/>
              <w:jc w:val="left"/>
              <w:rPr>
                <w:rFonts w:ascii="仿宋" w:hAnsi="仿宋" w:eastAsia="仿宋" w:cs="仿宋"/>
                <w:kern w:val="0"/>
                <w:szCs w:val="21"/>
              </w:rPr>
            </w:pPr>
          </w:p>
          <w:p>
            <w:pPr>
              <w:widowControl/>
              <w:spacing w:line="360" w:lineRule="auto"/>
              <w:ind w:firstLine="315" w:firstLineChars="150"/>
              <w:jc w:val="left"/>
              <w:rPr>
                <w:rFonts w:ascii="仿宋" w:hAnsi="仿宋" w:eastAsia="仿宋" w:cs="仿宋"/>
                <w:kern w:val="0"/>
                <w:szCs w:val="21"/>
              </w:rPr>
            </w:pPr>
            <w:r>
              <w:rPr>
                <w:rFonts w:hint="eastAsia" w:ascii="仿宋" w:hAnsi="仿宋" w:eastAsia="仿宋" w:cs="仿宋"/>
                <w:kern w:val="0"/>
                <w:szCs w:val="21"/>
              </w:rPr>
              <w:t>我公司承诺：</w:t>
            </w: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ind w:firstLine="3360" w:firstLineChars="1600"/>
              <w:jc w:val="left"/>
              <w:rPr>
                <w:rFonts w:ascii="仿宋" w:hAnsi="仿宋" w:eastAsia="仿宋" w:cs="仿宋"/>
                <w:kern w:val="0"/>
                <w:szCs w:val="21"/>
              </w:rPr>
            </w:pPr>
            <w:r>
              <w:rPr>
                <w:rFonts w:hint="eastAsia" w:ascii="仿宋" w:hAnsi="仿宋" w:eastAsia="仿宋" w:cs="仿宋"/>
                <w:kern w:val="0"/>
                <w:szCs w:val="21"/>
              </w:rPr>
              <w:t>授权代表签字：</w:t>
            </w:r>
          </w:p>
        </w:tc>
      </w:tr>
    </w:tbl>
    <w:p>
      <w:pPr>
        <w:spacing w:line="360" w:lineRule="auto"/>
        <w:rPr>
          <w:rFonts w:ascii="仿宋" w:hAnsi="仿宋" w:eastAsia="仿宋" w:cs="仿宋"/>
          <w:b/>
          <w:szCs w:val="21"/>
        </w:rPr>
      </w:pPr>
    </w:p>
    <w:p>
      <w:pPr>
        <w:spacing w:line="360" w:lineRule="auto"/>
        <w:rPr>
          <w:rFonts w:ascii="仿宋" w:hAnsi="仿宋" w:eastAsia="仿宋" w:cs="仿宋"/>
          <w:b/>
          <w:szCs w:val="21"/>
        </w:rPr>
      </w:pPr>
      <w:r>
        <w:rPr>
          <w:rFonts w:hint="eastAsia" w:ascii="仿宋" w:hAnsi="仿宋" w:eastAsia="仿宋" w:cs="仿宋"/>
          <w:szCs w:val="21"/>
        </w:rPr>
        <w:br w:type="page"/>
      </w:r>
    </w:p>
    <w:sectPr>
      <w:type w:val="nextColumn"/>
      <w:pgSz w:w="11906" w:h="16838"/>
      <w:pgMar w:top="1440" w:right="1797" w:bottom="1402"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Menlo">
    <w:altName w:val="Segoe Print"/>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font-weight : 400">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5"/>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28</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er&#10;NUXQAAAAAwEAAA8AAAAAAAAAAQAgAAAAIgAAAGRycy9kb3ducmV2LnhtbFBLAQIUABQAAAAIAIdO&#10;4kC/w2ie8gEAAMEDAAAOAAAAAAAAAAEAIAAAAB8BAABkcnMvZTJvRG9jLnhtbFBLBQYAAAAABgAG&#10;AFkBAACD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4"/>
    <w:multiLevelType w:val="multilevel"/>
    <w:tmpl w:val="00000044"/>
    <w:lvl w:ilvl="0" w:tentative="0">
      <w:start w:val="1"/>
      <w:numFmt w:val="decimal"/>
      <w:pStyle w:val="133"/>
      <w:lvlText w:val="%1、"/>
      <w:lvlJc w:val="left"/>
      <w:pPr>
        <w:tabs>
          <w:tab w:val="left" w:pos="420"/>
        </w:tabs>
        <w:ind w:left="420" w:hanging="420"/>
      </w:pPr>
      <w:rPr>
        <w:rFonts w:hint="eastAsia"/>
      </w:rPr>
    </w:lvl>
    <w:lvl w:ilvl="1" w:tentative="0">
      <w:start w:val="1"/>
      <w:numFmt w:val="decimal"/>
      <w:lvlText w:val="%2、"/>
      <w:lvlJc w:val="left"/>
      <w:pPr>
        <w:tabs>
          <w:tab w:val="left" w:pos="420"/>
        </w:tabs>
        <w:ind w:left="42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AB35329"/>
    <w:multiLevelType w:val="multilevel"/>
    <w:tmpl w:val="2AB35329"/>
    <w:lvl w:ilvl="0" w:tentative="0">
      <w:start w:val="1"/>
      <w:numFmt w:val="decimal"/>
      <w:pStyle w:val="149"/>
      <w:lvlText w:val="%1、"/>
      <w:lvlJc w:val="left"/>
      <w:pPr>
        <w:tabs>
          <w:tab w:val="left" w:pos="840"/>
        </w:tabs>
        <w:ind w:left="840" w:hanging="360"/>
      </w:pPr>
      <w:rPr>
        <w:rFonts w:hint="default"/>
      </w:rPr>
    </w:lvl>
    <w:lvl w:ilvl="1" w:tentative="0">
      <w:start w:val="1"/>
      <w:numFmt w:val="decimal"/>
      <w:lvlText w:val="%2."/>
      <w:lvlJc w:val="left"/>
      <w:pPr>
        <w:tabs>
          <w:tab w:val="left" w:pos="1635"/>
        </w:tabs>
        <w:ind w:left="1635" w:hanging="735"/>
      </w:pPr>
      <w:rPr>
        <w:rFonts w:hint="default"/>
      </w:rPr>
    </w:lvl>
    <w:lvl w:ilvl="2" w:tentative="0">
      <w:start w:val="4"/>
      <w:numFmt w:val="japaneseCounting"/>
      <w:lvlText w:val="%3、"/>
      <w:lvlJc w:val="left"/>
      <w:pPr>
        <w:tabs>
          <w:tab w:val="left" w:pos="1740"/>
        </w:tabs>
        <w:ind w:left="1740" w:hanging="42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351F227F"/>
    <w:multiLevelType w:val="multilevel"/>
    <w:tmpl w:val="351F227F"/>
    <w:lvl w:ilvl="0" w:tentative="0">
      <w:start w:val="1"/>
      <w:numFmt w:val="decimal"/>
      <w:lvlText w:val="（%1）"/>
      <w:lvlJc w:val="left"/>
      <w:pPr>
        <w:tabs>
          <w:tab w:val="left" w:pos="1200"/>
        </w:tabs>
        <w:ind w:left="1200" w:hanging="720"/>
      </w:pPr>
      <w:rPr>
        <w:rFonts w:hint="default"/>
      </w:rPr>
    </w:lvl>
    <w:lvl w:ilvl="1" w:tentative="0">
      <w:start w:val="2"/>
      <w:numFmt w:val="decimal"/>
      <w:lvlText w:val="（%2）"/>
      <w:lvlJc w:val="left"/>
      <w:pPr>
        <w:tabs>
          <w:tab w:val="left" w:pos="1140"/>
        </w:tabs>
        <w:ind w:left="1140" w:hanging="720"/>
      </w:pPr>
      <w:rPr>
        <w:rFonts w:hint="default"/>
      </w:rPr>
    </w:lvl>
    <w:lvl w:ilvl="2" w:tentative="0">
      <w:start w:val="1"/>
      <w:numFmt w:val="lowerRoman"/>
      <w:pStyle w:val="144"/>
      <w:lvlText w:val="%3."/>
      <w:lvlJc w:val="right"/>
      <w:pPr>
        <w:tabs>
          <w:tab w:val="left" w:pos="1260"/>
        </w:tabs>
        <w:ind w:left="1260" w:hanging="420"/>
      </w:pPr>
    </w:lvl>
    <w:lvl w:ilvl="3" w:tentative="0">
      <w:start w:val="1"/>
      <w:numFmt w:val="decimal"/>
      <w:pStyle w:val="156"/>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2B45774"/>
    <w:multiLevelType w:val="singleLevel"/>
    <w:tmpl w:val="62B45774"/>
    <w:lvl w:ilvl="0" w:tentative="0">
      <w:start w:val="1"/>
      <w:numFmt w:val="decimal"/>
      <w:lvlText w:val="%1．"/>
      <w:lvlJc w:val="left"/>
      <w:pPr>
        <w:tabs>
          <w:tab w:val="left" w:pos="945"/>
        </w:tabs>
        <w:ind w:left="945" w:hanging="420"/>
      </w:pPr>
      <w:rPr>
        <w:rFonts w:hint="eastAsia"/>
      </w:rPr>
    </w:lvl>
  </w:abstractNum>
  <w:abstractNum w:abstractNumId="4">
    <w:nsid w:val="6CEA2025"/>
    <w:multiLevelType w:val="multilevel"/>
    <w:tmpl w:val="6CEA2025"/>
    <w:lvl w:ilvl="0" w:tentative="0">
      <w:start w:val="1"/>
      <w:numFmt w:val="none"/>
      <w:pStyle w:val="163"/>
      <w:suff w:val="nothing"/>
      <w:lvlText w:val="%1"/>
      <w:lvlJc w:val="left"/>
      <w:pPr>
        <w:ind w:left="0" w:firstLine="0"/>
      </w:pPr>
      <w:rPr>
        <w:rFonts w:hint="default" w:ascii="Times New Roman" w:hAnsi="Times New Roman"/>
        <w:b/>
        <w:i w:val="0"/>
        <w:sz w:val="21"/>
      </w:rPr>
    </w:lvl>
    <w:lvl w:ilvl="1" w:tentative="0">
      <w:start w:val="1"/>
      <w:numFmt w:val="decimal"/>
      <w:pStyle w:val="158"/>
      <w:suff w:val="nothing"/>
      <w:lvlText w:val="%1%2　"/>
      <w:lvlJc w:val="left"/>
      <w:pPr>
        <w:ind w:left="0" w:firstLine="0"/>
      </w:pPr>
      <w:rPr>
        <w:rFonts w:hint="eastAsia" w:ascii="黑体" w:hAnsi="Times New Roman" w:eastAsia="黑体"/>
        <w:b w:val="0"/>
        <w:i w:val="0"/>
        <w:sz w:val="21"/>
      </w:rPr>
    </w:lvl>
    <w:lvl w:ilvl="2" w:tentative="0">
      <w:start w:val="1"/>
      <w:numFmt w:val="decimal"/>
      <w:pStyle w:val="155"/>
      <w:suff w:val="nothing"/>
      <w:lvlText w:val="%1%2.%3　"/>
      <w:lvlJc w:val="left"/>
      <w:pPr>
        <w:ind w:left="0" w:firstLine="0"/>
      </w:pPr>
      <w:rPr>
        <w:rFonts w:hint="eastAsia" w:ascii="黑体" w:hAnsi="Times New Roman" w:eastAsia="黑体"/>
        <w:b w:val="0"/>
        <w:i w:val="0"/>
        <w:sz w:val="21"/>
      </w:rPr>
    </w:lvl>
    <w:lvl w:ilvl="3" w:tentative="0">
      <w:start w:val="1"/>
      <w:numFmt w:val="decimal"/>
      <w:pStyle w:val="154"/>
      <w:suff w:val="nothing"/>
      <w:lvlText w:val="%1%2.%3.%4　"/>
      <w:lvlJc w:val="left"/>
      <w:pPr>
        <w:ind w:left="735" w:firstLine="0"/>
      </w:pPr>
      <w:rPr>
        <w:rFonts w:hint="eastAsia" w:ascii="黑体" w:hAnsi="Times New Roman" w:eastAsia="黑体"/>
        <w:b w:val="0"/>
        <w:i w:val="0"/>
        <w:sz w:val="21"/>
      </w:rPr>
    </w:lvl>
    <w:lvl w:ilvl="4" w:tentative="0">
      <w:start w:val="1"/>
      <w:numFmt w:val="decimal"/>
      <w:pStyle w:val="153"/>
      <w:suff w:val="nothing"/>
      <w:lvlText w:val="%5．"/>
      <w:lvlJc w:val="left"/>
      <w:pPr>
        <w:ind w:left="0" w:firstLine="0"/>
      </w:pPr>
      <w:rPr>
        <w:rFonts w:ascii="Times New Roman" w:hAnsi="Times New Roman" w:eastAsia="Times New Roman" w:cs="Times New Roman"/>
        <w:b w:val="0"/>
        <w:i w:val="0"/>
        <w:sz w:val="21"/>
      </w:rPr>
    </w:lvl>
    <w:lvl w:ilvl="5" w:tentative="0">
      <w:start w:val="1"/>
      <w:numFmt w:val="decimal"/>
      <w:pStyle w:val="152"/>
      <w:suff w:val="nothing"/>
      <w:lvlText w:val="%1%2.%3.%4.%5.%6　"/>
      <w:lvlJc w:val="left"/>
      <w:pPr>
        <w:ind w:left="0" w:firstLine="0"/>
      </w:pPr>
      <w:rPr>
        <w:rFonts w:hint="eastAsia" w:ascii="黑体" w:hAnsi="Times New Roman" w:eastAsia="黑体"/>
        <w:b w:val="0"/>
        <w:i w:val="0"/>
        <w:sz w:val="21"/>
      </w:rPr>
    </w:lvl>
    <w:lvl w:ilvl="6" w:tentative="0">
      <w:start w:val="1"/>
      <w:numFmt w:val="decimal"/>
      <w:pStyle w:val="15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71616C9F"/>
    <w:multiLevelType w:val="multilevel"/>
    <w:tmpl w:val="71616C9F"/>
    <w:lvl w:ilvl="0" w:tentative="0">
      <w:start w:val="1"/>
      <w:numFmt w:val="decimal"/>
      <w:lvlText w:val="%1."/>
      <w:lvlJc w:val="left"/>
      <w:pPr>
        <w:tabs>
          <w:tab w:val="left" w:pos="425"/>
        </w:tabs>
        <w:ind w:left="425" w:hanging="425"/>
      </w:pPr>
      <w:rPr>
        <w:rFonts w:hint="eastAsia"/>
      </w:rPr>
    </w:lvl>
    <w:lvl w:ilvl="1" w:tentative="0">
      <w:start w:val="1"/>
      <w:numFmt w:val="decimal"/>
      <w:pStyle w:val="139"/>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5"/>
  <w:drawingGridHorizontalSpacing w:val="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DB"/>
    <w:rsid w:val="00004AC4"/>
    <w:rsid w:val="000060D7"/>
    <w:rsid w:val="00006629"/>
    <w:rsid w:val="00007B1E"/>
    <w:rsid w:val="00021794"/>
    <w:rsid w:val="00022B7F"/>
    <w:rsid w:val="000278E4"/>
    <w:rsid w:val="00053026"/>
    <w:rsid w:val="000640A6"/>
    <w:rsid w:val="0007777D"/>
    <w:rsid w:val="0008060D"/>
    <w:rsid w:val="00082577"/>
    <w:rsid w:val="00083EA1"/>
    <w:rsid w:val="000A3C90"/>
    <w:rsid w:val="000B06B3"/>
    <w:rsid w:val="000B275D"/>
    <w:rsid w:val="000D7F8C"/>
    <w:rsid w:val="000E2DA9"/>
    <w:rsid w:val="000E7473"/>
    <w:rsid w:val="000E7623"/>
    <w:rsid w:val="000F16FD"/>
    <w:rsid w:val="000F3A12"/>
    <w:rsid w:val="00101739"/>
    <w:rsid w:val="00111ABD"/>
    <w:rsid w:val="001141CB"/>
    <w:rsid w:val="00122BFE"/>
    <w:rsid w:val="0012308A"/>
    <w:rsid w:val="00124D68"/>
    <w:rsid w:val="00130413"/>
    <w:rsid w:val="00130C02"/>
    <w:rsid w:val="001339BA"/>
    <w:rsid w:val="00141959"/>
    <w:rsid w:val="00141ED6"/>
    <w:rsid w:val="0014346F"/>
    <w:rsid w:val="00153E86"/>
    <w:rsid w:val="0016773A"/>
    <w:rsid w:val="00172A27"/>
    <w:rsid w:val="00182DF1"/>
    <w:rsid w:val="001840CD"/>
    <w:rsid w:val="00187DF1"/>
    <w:rsid w:val="00195FA8"/>
    <w:rsid w:val="001C1285"/>
    <w:rsid w:val="001C7FE0"/>
    <w:rsid w:val="001D1C60"/>
    <w:rsid w:val="001D328E"/>
    <w:rsid w:val="001E13FC"/>
    <w:rsid w:val="001E37F0"/>
    <w:rsid w:val="001E4F81"/>
    <w:rsid w:val="001E5A75"/>
    <w:rsid w:val="001F6768"/>
    <w:rsid w:val="00204C38"/>
    <w:rsid w:val="00206D44"/>
    <w:rsid w:val="002131CC"/>
    <w:rsid w:val="00220578"/>
    <w:rsid w:val="002210AF"/>
    <w:rsid w:val="00224873"/>
    <w:rsid w:val="00224DF6"/>
    <w:rsid w:val="00225EF2"/>
    <w:rsid w:val="00227866"/>
    <w:rsid w:val="002425A2"/>
    <w:rsid w:val="002453DC"/>
    <w:rsid w:val="0025142B"/>
    <w:rsid w:val="002528E0"/>
    <w:rsid w:val="002651D8"/>
    <w:rsid w:val="00266C92"/>
    <w:rsid w:val="00274487"/>
    <w:rsid w:val="00280C68"/>
    <w:rsid w:val="002A1FE3"/>
    <w:rsid w:val="002A7D52"/>
    <w:rsid w:val="002B2C5F"/>
    <w:rsid w:val="002C0D28"/>
    <w:rsid w:val="002C0E31"/>
    <w:rsid w:val="002C20EB"/>
    <w:rsid w:val="002D6957"/>
    <w:rsid w:val="002E0711"/>
    <w:rsid w:val="002E22ED"/>
    <w:rsid w:val="002F769D"/>
    <w:rsid w:val="00300D21"/>
    <w:rsid w:val="0031103D"/>
    <w:rsid w:val="00335ACD"/>
    <w:rsid w:val="003363C9"/>
    <w:rsid w:val="003407AD"/>
    <w:rsid w:val="00342D80"/>
    <w:rsid w:val="003611D2"/>
    <w:rsid w:val="0036241E"/>
    <w:rsid w:val="0036426C"/>
    <w:rsid w:val="00372079"/>
    <w:rsid w:val="00380126"/>
    <w:rsid w:val="0038132E"/>
    <w:rsid w:val="00381CA7"/>
    <w:rsid w:val="003820A5"/>
    <w:rsid w:val="0039070D"/>
    <w:rsid w:val="003915C7"/>
    <w:rsid w:val="0039240B"/>
    <w:rsid w:val="003D7498"/>
    <w:rsid w:val="0041066A"/>
    <w:rsid w:val="00416724"/>
    <w:rsid w:val="00422BF2"/>
    <w:rsid w:val="0043758D"/>
    <w:rsid w:val="00446D8A"/>
    <w:rsid w:val="00451182"/>
    <w:rsid w:val="00452FF0"/>
    <w:rsid w:val="0046242C"/>
    <w:rsid w:val="00467959"/>
    <w:rsid w:val="00471C28"/>
    <w:rsid w:val="00476397"/>
    <w:rsid w:val="00482D63"/>
    <w:rsid w:val="00485A7B"/>
    <w:rsid w:val="0049123B"/>
    <w:rsid w:val="00494CF2"/>
    <w:rsid w:val="0049541D"/>
    <w:rsid w:val="004A0FAB"/>
    <w:rsid w:val="004A15FE"/>
    <w:rsid w:val="004B6F3B"/>
    <w:rsid w:val="004C4C2C"/>
    <w:rsid w:val="004E0AF9"/>
    <w:rsid w:val="004E2067"/>
    <w:rsid w:val="004E6C13"/>
    <w:rsid w:val="004F62F2"/>
    <w:rsid w:val="004F673F"/>
    <w:rsid w:val="0050393E"/>
    <w:rsid w:val="00515BDA"/>
    <w:rsid w:val="00516AA7"/>
    <w:rsid w:val="0052012D"/>
    <w:rsid w:val="005226B2"/>
    <w:rsid w:val="00535733"/>
    <w:rsid w:val="00540DDA"/>
    <w:rsid w:val="0054185D"/>
    <w:rsid w:val="00546EED"/>
    <w:rsid w:val="00553E39"/>
    <w:rsid w:val="00555EE7"/>
    <w:rsid w:val="00557258"/>
    <w:rsid w:val="00567EF3"/>
    <w:rsid w:val="0057064A"/>
    <w:rsid w:val="005864DC"/>
    <w:rsid w:val="005924BF"/>
    <w:rsid w:val="005A5490"/>
    <w:rsid w:val="005B07FA"/>
    <w:rsid w:val="005B4AE3"/>
    <w:rsid w:val="005C28B6"/>
    <w:rsid w:val="005C3C4C"/>
    <w:rsid w:val="005D131A"/>
    <w:rsid w:val="005D243C"/>
    <w:rsid w:val="005F00E6"/>
    <w:rsid w:val="005F1063"/>
    <w:rsid w:val="005F14ED"/>
    <w:rsid w:val="005F6AAE"/>
    <w:rsid w:val="00601B0A"/>
    <w:rsid w:val="00607D47"/>
    <w:rsid w:val="00611133"/>
    <w:rsid w:val="00613BEA"/>
    <w:rsid w:val="0062137B"/>
    <w:rsid w:val="00621941"/>
    <w:rsid w:val="00623A23"/>
    <w:rsid w:val="0062687E"/>
    <w:rsid w:val="00640DEF"/>
    <w:rsid w:val="00652D4B"/>
    <w:rsid w:val="00653E96"/>
    <w:rsid w:val="006604FB"/>
    <w:rsid w:val="00661FBB"/>
    <w:rsid w:val="00662773"/>
    <w:rsid w:val="00667535"/>
    <w:rsid w:val="00695240"/>
    <w:rsid w:val="00696481"/>
    <w:rsid w:val="006A0864"/>
    <w:rsid w:val="006A208B"/>
    <w:rsid w:val="006A275B"/>
    <w:rsid w:val="006A4C91"/>
    <w:rsid w:val="006A5EFA"/>
    <w:rsid w:val="006A7FE5"/>
    <w:rsid w:val="006C51B6"/>
    <w:rsid w:val="006C7327"/>
    <w:rsid w:val="006D0A5B"/>
    <w:rsid w:val="006D356A"/>
    <w:rsid w:val="006E5B7B"/>
    <w:rsid w:val="006F29D4"/>
    <w:rsid w:val="006F451C"/>
    <w:rsid w:val="006F6186"/>
    <w:rsid w:val="0070050F"/>
    <w:rsid w:val="00700C50"/>
    <w:rsid w:val="00702EA4"/>
    <w:rsid w:val="007038F8"/>
    <w:rsid w:val="007075C7"/>
    <w:rsid w:val="00722542"/>
    <w:rsid w:val="007308EA"/>
    <w:rsid w:val="00730B5F"/>
    <w:rsid w:val="00744830"/>
    <w:rsid w:val="007451FA"/>
    <w:rsid w:val="007471BE"/>
    <w:rsid w:val="00754349"/>
    <w:rsid w:val="00755F88"/>
    <w:rsid w:val="0077093D"/>
    <w:rsid w:val="007727F7"/>
    <w:rsid w:val="00773C1E"/>
    <w:rsid w:val="00775BF9"/>
    <w:rsid w:val="00794F89"/>
    <w:rsid w:val="007C3105"/>
    <w:rsid w:val="007D00B4"/>
    <w:rsid w:val="007D3358"/>
    <w:rsid w:val="007E2380"/>
    <w:rsid w:val="007F6F9A"/>
    <w:rsid w:val="008004A1"/>
    <w:rsid w:val="008239C1"/>
    <w:rsid w:val="00825B5A"/>
    <w:rsid w:val="008478E0"/>
    <w:rsid w:val="0085798A"/>
    <w:rsid w:val="00861B8B"/>
    <w:rsid w:val="008635B6"/>
    <w:rsid w:val="00863A94"/>
    <w:rsid w:val="00865336"/>
    <w:rsid w:val="00866164"/>
    <w:rsid w:val="00876C5A"/>
    <w:rsid w:val="008A0F53"/>
    <w:rsid w:val="008A23B7"/>
    <w:rsid w:val="008A2E2F"/>
    <w:rsid w:val="008A4488"/>
    <w:rsid w:val="008B6F44"/>
    <w:rsid w:val="008B7A18"/>
    <w:rsid w:val="008B7A76"/>
    <w:rsid w:val="008C549D"/>
    <w:rsid w:val="008D77FC"/>
    <w:rsid w:val="008E367E"/>
    <w:rsid w:val="008E666D"/>
    <w:rsid w:val="008F2031"/>
    <w:rsid w:val="008F20C8"/>
    <w:rsid w:val="008F681B"/>
    <w:rsid w:val="00905D00"/>
    <w:rsid w:val="00907B58"/>
    <w:rsid w:val="00915D65"/>
    <w:rsid w:val="00917C02"/>
    <w:rsid w:val="009239EB"/>
    <w:rsid w:val="00935C57"/>
    <w:rsid w:val="00936C76"/>
    <w:rsid w:val="00952A93"/>
    <w:rsid w:val="009559A3"/>
    <w:rsid w:val="00957240"/>
    <w:rsid w:val="0096303D"/>
    <w:rsid w:val="00971AF3"/>
    <w:rsid w:val="00977F82"/>
    <w:rsid w:val="00985FF8"/>
    <w:rsid w:val="00986F59"/>
    <w:rsid w:val="00993A97"/>
    <w:rsid w:val="00994A76"/>
    <w:rsid w:val="0099570E"/>
    <w:rsid w:val="009B55E4"/>
    <w:rsid w:val="009C3DF5"/>
    <w:rsid w:val="009D12B4"/>
    <w:rsid w:val="009D2E0B"/>
    <w:rsid w:val="009E13BF"/>
    <w:rsid w:val="009E4A2F"/>
    <w:rsid w:val="009E4AD2"/>
    <w:rsid w:val="009E5C39"/>
    <w:rsid w:val="00A00279"/>
    <w:rsid w:val="00A0396C"/>
    <w:rsid w:val="00A10D1E"/>
    <w:rsid w:val="00A12884"/>
    <w:rsid w:val="00A15AE1"/>
    <w:rsid w:val="00A21C6C"/>
    <w:rsid w:val="00A25C93"/>
    <w:rsid w:val="00A26D19"/>
    <w:rsid w:val="00A3614D"/>
    <w:rsid w:val="00A365E8"/>
    <w:rsid w:val="00A40A1F"/>
    <w:rsid w:val="00A456CB"/>
    <w:rsid w:val="00A457EE"/>
    <w:rsid w:val="00A47B34"/>
    <w:rsid w:val="00A52282"/>
    <w:rsid w:val="00A606F5"/>
    <w:rsid w:val="00A86CEF"/>
    <w:rsid w:val="00AA6A88"/>
    <w:rsid w:val="00AD275E"/>
    <w:rsid w:val="00AD509E"/>
    <w:rsid w:val="00AE4BE7"/>
    <w:rsid w:val="00B03D5D"/>
    <w:rsid w:val="00B113EA"/>
    <w:rsid w:val="00B118F7"/>
    <w:rsid w:val="00B120DC"/>
    <w:rsid w:val="00B12269"/>
    <w:rsid w:val="00B16286"/>
    <w:rsid w:val="00B16B33"/>
    <w:rsid w:val="00B207D4"/>
    <w:rsid w:val="00B274A1"/>
    <w:rsid w:val="00B32C19"/>
    <w:rsid w:val="00B361B7"/>
    <w:rsid w:val="00B368F8"/>
    <w:rsid w:val="00B40C24"/>
    <w:rsid w:val="00B472CF"/>
    <w:rsid w:val="00B513D6"/>
    <w:rsid w:val="00B6037B"/>
    <w:rsid w:val="00B603B8"/>
    <w:rsid w:val="00B65534"/>
    <w:rsid w:val="00B7421C"/>
    <w:rsid w:val="00B75BDA"/>
    <w:rsid w:val="00B75F1A"/>
    <w:rsid w:val="00B76547"/>
    <w:rsid w:val="00B8751B"/>
    <w:rsid w:val="00B94678"/>
    <w:rsid w:val="00BA0B7F"/>
    <w:rsid w:val="00BB0A3E"/>
    <w:rsid w:val="00BC34CB"/>
    <w:rsid w:val="00BC48D8"/>
    <w:rsid w:val="00BC6EDB"/>
    <w:rsid w:val="00BE4E59"/>
    <w:rsid w:val="00BF1766"/>
    <w:rsid w:val="00C12023"/>
    <w:rsid w:val="00C23A4A"/>
    <w:rsid w:val="00C30B33"/>
    <w:rsid w:val="00C34FC7"/>
    <w:rsid w:val="00C35286"/>
    <w:rsid w:val="00C3746D"/>
    <w:rsid w:val="00C429A9"/>
    <w:rsid w:val="00C514FF"/>
    <w:rsid w:val="00C57A45"/>
    <w:rsid w:val="00C6099F"/>
    <w:rsid w:val="00C66FC2"/>
    <w:rsid w:val="00C739A0"/>
    <w:rsid w:val="00C80FC9"/>
    <w:rsid w:val="00C92D43"/>
    <w:rsid w:val="00CA400B"/>
    <w:rsid w:val="00CA4AD8"/>
    <w:rsid w:val="00CB493F"/>
    <w:rsid w:val="00CC4036"/>
    <w:rsid w:val="00CD7A59"/>
    <w:rsid w:val="00CE2413"/>
    <w:rsid w:val="00CE325C"/>
    <w:rsid w:val="00CE775E"/>
    <w:rsid w:val="00CF544F"/>
    <w:rsid w:val="00CF561D"/>
    <w:rsid w:val="00D077E4"/>
    <w:rsid w:val="00D1082F"/>
    <w:rsid w:val="00D46385"/>
    <w:rsid w:val="00D54D2D"/>
    <w:rsid w:val="00D62D6F"/>
    <w:rsid w:val="00D6444E"/>
    <w:rsid w:val="00D665EE"/>
    <w:rsid w:val="00D66FA3"/>
    <w:rsid w:val="00D71DFC"/>
    <w:rsid w:val="00DA247C"/>
    <w:rsid w:val="00DA3711"/>
    <w:rsid w:val="00DA395E"/>
    <w:rsid w:val="00DA6CCB"/>
    <w:rsid w:val="00DE1387"/>
    <w:rsid w:val="00DE2224"/>
    <w:rsid w:val="00E02907"/>
    <w:rsid w:val="00E1265B"/>
    <w:rsid w:val="00E13409"/>
    <w:rsid w:val="00E34CD3"/>
    <w:rsid w:val="00E51B1B"/>
    <w:rsid w:val="00E54C3B"/>
    <w:rsid w:val="00E65523"/>
    <w:rsid w:val="00E65EC9"/>
    <w:rsid w:val="00E71017"/>
    <w:rsid w:val="00E73FF6"/>
    <w:rsid w:val="00E7771A"/>
    <w:rsid w:val="00E804EF"/>
    <w:rsid w:val="00E81928"/>
    <w:rsid w:val="00E820B7"/>
    <w:rsid w:val="00E93236"/>
    <w:rsid w:val="00EA2352"/>
    <w:rsid w:val="00EB5A45"/>
    <w:rsid w:val="00EB5F08"/>
    <w:rsid w:val="00EC73F8"/>
    <w:rsid w:val="00ED61D3"/>
    <w:rsid w:val="00ED63EA"/>
    <w:rsid w:val="00ED6D02"/>
    <w:rsid w:val="00EE1456"/>
    <w:rsid w:val="00EE21AA"/>
    <w:rsid w:val="00EE48A0"/>
    <w:rsid w:val="00EE4C62"/>
    <w:rsid w:val="00EE7840"/>
    <w:rsid w:val="00EF0A6B"/>
    <w:rsid w:val="00EF66B1"/>
    <w:rsid w:val="00F04CDA"/>
    <w:rsid w:val="00F1277F"/>
    <w:rsid w:val="00F13B64"/>
    <w:rsid w:val="00F23215"/>
    <w:rsid w:val="00F37BC2"/>
    <w:rsid w:val="00F40BD3"/>
    <w:rsid w:val="00F419DF"/>
    <w:rsid w:val="00F45250"/>
    <w:rsid w:val="00F46E83"/>
    <w:rsid w:val="00F472C5"/>
    <w:rsid w:val="00F52FF7"/>
    <w:rsid w:val="00F54B53"/>
    <w:rsid w:val="00F564FB"/>
    <w:rsid w:val="00F826A8"/>
    <w:rsid w:val="00F839C6"/>
    <w:rsid w:val="00F86555"/>
    <w:rsid w:val="00F9068A"/>
    <w:rsid w:val="00F9265C"/>
    <w:rsid w:val="00F9496D"/>
    <w:rsid w:val="00F9576D"/>
    <w:rsid w:val="00FA5B0A"/>
    <w:rsid w:val="00FA75DA"/>
    <w:rsid w:val="00FB005B"/>
    <w:rsid w:val="00FB1A59"/>
    <w:rsid w:val="00FC2D21"/>
    <w:rsid w:val="00FC3B7B"/>
    <w:rsid w:val="00FD4EB8"/>
    <w:rsid w:val="00FE0CAE"/>
    <w:rsid w:val="00FE4479"/>
    <w:rsid w:val="03572FAB"/>
    <w:rsid w:val="0C4A4C4C"/>
    <w:rsid w:val="101073F9"/>
    <w:rsid w:val="12574E9E"/>
    <w:rsid w:val="13047FE8"/>
    <w:rsid w:val="139F6384"/>
    <w:rsid w:val="14446927"/>
    <w:rsid w:val="182E29C2"/>
    <w:rsid w:val="1ED67862"/>
    <w:rsid w:val="20EF1B01"/>
    <w:rsid w:val="250E4B98"/>
    <w:rsid w:val="26653252"/>
    <w:rsid w:val="26886204"/>
    <w:rsid w:val="2ADF3385"/>
    <w:rsid w:val="2E5642D0"/>
    <w:rsid w:val="2E8D039C"/>
    <w:rsid w:val="2EEE3EE0"/>
    <w:rsid w:val="34260C22"/>
    <w:rsid w:val="36A529D7"/>
    <w:rsid w:val="3EB07399"/>
    <w:rsid w:val="41151EDA"/>
    <w:rsid w:val="430605FD"/>
    <w:rsid w:val="453A3EB0"/>
    <w:rsid w:val="45B02BBA"/>
    <w:rsid w:val="48B64473"/>
    <w:rsid w:val="4C305849"/>
    <w:rsid w:val="51AF0921"/>
    <w:rsid w:val="552D4F73"/>
    <w:rsid w:val="5E216EEE"/>
    <w:rsid w:val="5F444F88"/>
    <w:rsid w:val="61845A19"/>
    <w:rsid w:val="62B07BD4"/>
    <w:rsid w:val="62B34EDE"/>
    <w:rsid w:val="62E9437C"/>
    <w:rsid w:val="677139F9"/>
    <w:rsid w:val="68EB4961"/>
    <w:rsid w:val="71C904A2"/>
    <w:rsid w:val="73D54A52"/>
    <w:rsid w:val="78F7395A"/>
    <w:rsid w:val="7E231045"/>
    <w:rsid w:val="7E2528A4"/>
    <w:rsid w:val="7EB40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iPriority="0" w:semiHidden="0" w:name="HTML Code"/>
    <w:lsdException w:qFormat="1" w:uiPriority="0" w:semiHidden="0" w:name="HTML Definition"/>
    <w:lsdException w:qFormat="1" w:uiPriority="0" w:semiHidden="0" w:name="HTML Keyboard"/>
    <w:lsdException w:qFormat="1" w:uiPriority="99" w:semiHidden="0" w:name="HTML Preformatted"/>
    <w:lsdException w:qFormat="1"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lang w:val="en-US" w:eastAsia="zh-CN" w:bidi="ar-SA"/>
    </w:rPr>
  </w:style>
  <w:style w:type="paragraph" w:styleId="3">
    <w:name w:val="heading 1"/>
    <w:basedOn w:val="1"/>
    <w:next w:val="1"/>
    <w:link w:val="87"/>
    <w:qFormat/>
    <w:uiPriority w:val="9"/>
    <w:pPr>
      <w:keepNext/>
      <w:keepLines/>
      <w:spacing w:before="340" w:after="330" w:line="578" w:lineRule="auto"/>
      <w:jc w:val="center"/>
      <w:outlineLvl w:val="0"/>
    </w:pPr>
    <w:rPr>
      <w:b/>
      <w:kern w:val="44"/>
      <w:sz w:val="44"/>
    </w:rPr>
  </w:style>
  <w:style w:type="paragraph" w:styleId="4">
    <w:name w:val="heading 2"/>
    <w:basedOn w:val="1"/>
    <w:next w:val="1"/>
    <w:link w:val="80"/>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85"/>
    <w:qFormat/>
    <w:uiPriority w:val="0"/>
    <w:pPr>
      <w:keepNext/>
      <w:keepLines/>
      <w:spacing w:before="260" w:after="260" w:line="416" w:lineRule="auto"/>
      <w:outlineLvl w:val="2"/>
    </w:pPr>
    <w:rPr>
      <w:b/>
      <w:bCs/>
      <w:sz w:val="32"/>
      <w:szCs w:val="32"/>
    </w:rPr>
  </w:style>
  <w:style w:type="paragraph" w:styleId="6">
    <w:name w:val="heading 4"/>
    <w:basedOn w:val="1"/>
    <w:next w:val="1"/>
    <w:link w:val="54"/>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4"/>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97"/>
    <w:qFormat/>
    <w:uiPriority w:val="0"/>
    <w:pPr>
      <w:keepNext/>
      <w:keepLines/>
      <w:spacing w:before="240" w:after="64" w:line="320" w:lineRule="auto"/>
      <w:outlineLvl w:val="5"/>
    </w:pPr>
    <w:rPr>
      <w:rFonts w:ascii="Calibri Light" w:hAnsi="Calibri Light"/>
      <w:b/>
      <w:bCs/>
      <w:sz w:val="24"/>
      <w:szCs w:val="24"/>
    </w:rPr>
  </w:style>
  <w:style w:type="paragraph" w:styleId="9">
    <w:name w:val="heading 7"/>
    <w:basedOn w:val="1"/>
    <w:next w:val="1"/>
    <w:link w:val="98"/>
    <w:qFormat/>
    <w:uiPriority w:val="0"/>
    <w:pPr>
      <w:keepNext/>
      <w:keepLines/>
      <w:spacing w:before="240" w:after="64" w:line="320" w:lineRule="auto"/>
      <w:outlineLvl w:val="6"/>
    </w:pPr>
    <w:rPr>
      <w:b/>
      <w:bCs/>
      <w:sz w:val="24"/>
      <w:szCs w:val="24"/>
    </w:rPr>
  </w:style>
  <w:style w:type="paragraph" w:styleId="10">
    <w:name w:val="heading 8"/>
    <w:basedOn w:val="1"/>
    <w:next w:val="1"/>
    <w:link w:val="108"/>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link w:val="63"/>
    <w:qFormat/>
    <w:uiPriority w:val="0"/>
    <w:pPr>
      <w:keepNext/>
      <w:keepLines/>
      <w:spacing w:before="240" w:after="64" w:line="320" w:lineRule="auto"/>
      <w:outlineLvl w:val="8"/>
    </w:pPr>
    <w:rPr>
      <w:rFonts w:ascii="Arial" w:hAnsi="Arial" w:eastAsia="黑体"/>
      <w:szCs w:val="21"/>
    </w:rPr>
  </w:style>
  <w:style w:type="character" w:default="1" w:styleId="31">
    <w:name w:val="Default Paragraph Font"/>
    <w:semiHidden/>
    <w:unhideWhenUsed/>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47"/>
    <w:qFormat/>
    <w:uiPriority w:val="0"/>
    <w:pPr>
      <w:tabs>
        <w:tab w:val="left" w:pos="567"/>
      </w:tabs>
      <w:spacing w:before="120" w:line="22" w:lineRule="atLeast"/>
    </w:pPr>
    <w:rPr>
      <w:kern w:val="0"/>
      <w:sz w:val="20"/>
      <w:szCs w:val="24"/>
    </w:rPr>
  </w:style>
  <w:style w:type="paragraph" w:styleId="12">
    <w:name w:val="Normal Indent"/>
    <w:basedOn w:val="1"/>
    <w:qFormat/>
    <w:uiPriority w:val="0"/>
    <w:pPr>
      <w:autoSpaceDE w:val="0"/>
      <w:autoSpaceDN w:val="0"/>
      <w:adjustRightInd w:val="0"/>
      <w:ind w:firstLine="420"/>
      <w:jc w:val="left"/>
    </w:pPr>
    <w:rPr>
      <w:rFonts w:ascii="宋体"/>
      <w:kern w:val="0"/>
      <w:sz w:val="24"/>
    </w:rPr>
  </w:style>
  <w:style w:type="paragraph" w:styleId="13">
    <w:name w:val="Document Map"/>
    <w:basedOn w:val="1"/>
    <w:link w:val="113"/>
    <w:qFormat/>
    <w:uiPriority w:val="0"/>
    <w:pPr>
      <w:shd w:val="clear" w:color="auto" w:fill="000080"/>
    </w:pPr>
  </w:style>
  <w:style w:type="paragraph" w:styleId="14">
    <w:name w:val="annotation text"/>
    <w:basedOn w:val="1"/>
    <w:link w:val="119"/>
    <w:qFormat/>
    <w:uiPriority w:val="99"/>
    <w:pPr>
      <w:jc w:val="left"/>
    </w:pPr>
    <w:rPr>
      <w:kern w:val="0"/>
      <w:sz w:val="20"/>
      <w:szCs w:val="24"/>
    </w:rPr>
  </w:style>
  <w:style w:type="paragraph" w:styleId="15">
    <w:name w:val="Body Text Indent"/>
    <w:basedOn w:val="1"/>
    <w:link w:val="92"/>
    <w:qFormat/>
    <w:uiPriority w:val="0"/>
    <w:pPr>
      <w:ind w:firstLine="540"/>
    </w:pPr>
    <w:rPr>
      <w:sz w:val="28"/>
    </w:rPr>
  </w:style>
  <w:style w:type="paragraph" w:styleId="16">
    <w:name w:val="Plain Text"/>
    <w:basedOn w:val="1"/>
    <w:link w:val="104"/>
    <w:qFormat/>
    <w:uiPriority w:val="0"/>
    <w:rPr>
      <w:rFonts w:ascii="宋体" w:hAnsi="Courier New"/>
    </w:rPr>
  </w:style>
  <w:style w:type="paragraph" w:styleId="17">
    <w:name w:val="Date"/>
    <w:basedOn w:val="1"/>
    <w:next w:val="1"/>
    <w:link w:val="99"/>
    <w:qFormat/>
    <w:uiPriority w:val="99"/>
    <w:rPr>
      <w:sz w:val="28"/>
    </w:rPr>
  </w:style>
  <w:style w:type="paragraph" w:styleId="18">
    <w:name w:val="Body Text Indent 2"/>
    <w:basedOn w:val="1"/>
    <w:link w:val="59"/>
    <w:qFormat/>
    <w:uiPriority w:val="0"/>
    <w:pPr>
      <w:spacing w:after="120" w:line="480" w:lineRule="auto"/>
      <w:ind w:left="420" w:leftChars="200"/>
    </w:pPr>
  </w:style>
  <w:style w:type="paragraph" w:styleId="19">
    <w:name w:val="endnote text"/>
    <w:basedOn w:val="1"/>
    <w:link w:val="68"/>
    <w:qFormat/>
    <w:uiPriority w:val="0"/>
    <w:pPr>
      <w:snapToGrid w:val="0"/>
      <w:jc w:val="left"/>
    </w:pPr>
    <w:rPr>
      <w:szCs w:val="24"/>
    </w:rPr>
  </w:style>
  <w:style w:type="paragraph" w:styleId="20">
    <w:name w:val="Balloon Text"/>
    <w:basedOn w:val="1"/>
    <w:link w:val="106"/>
    <w:qFormat/>
    <w:uiPriority w:val="0"/>
    <w:rPr>
      <w:sz w:val="18"/>
      <w:szCs w:val="18"/>
    </w:rPr>
  </w:style>
  <w:style w:type="paragraph" w:styleId="21">
    <w:name w:val="footer"/>
    <w:basedOn w:val="1"/>
    <w:link w:val="109"/>
    <w:qFormat/>
    <w:uiPriority w:val="99"/>
    <w:pPr>
      <w:tabs>
        <w:tab w:val="center" w:pos="4153"/>
        <w:tab w:val="right" w:pos="8306"/>
      </w:tabs>
      <w:snapToGrid w:val="0"/>
      <w:jc w:val="left"/>
    </w:pPr>
    <w:rPr>
      <w:sz w:val="18"/>
    </w:rPr>
  </w:style>
  <w:style w:type="paragraph" w:styleId="22">
    <w:name w:val="header"/>
    <w:basedOn w:val="1"/>
    <w:link w:val="116"/>
    <w:qFormat/>
    <w:uiPriority w:val="0"/>
    <w:pPr>
      <w:pBdr>
        <w:bottom w:val="single" w:color="auto" w:sz="6" w:space="1"/>
      </w:pBdr>
      <w:tabs>
        <w:tab w:val="center" w:pos="4153"/>
        <w:tab w:val="right" w:pos="8306"/>
      </w:tabs>
      <w:snapToGrid w:val="0"/>
      <w:jc w:val="center"/>
    </w:pPr>
    <w:rPr>
      <w:sz w:val="18"/>
    </w:rPr>
  </w:style>
  <w:style w:type="paragraph" w:styleId="23">
    <w:name w:val="Body Text Indent 3"/>
    <w:basedOn w:val="1"/>
    <w:link w:val="107"/>
    <w:qFormat/>
    <w:uiPriority w:val="0"/>
    <w:pPr>
      <w:ind w:left="2" w:firstLine="628"/>
    </w:pPr>
    <w:rPr>
      <w:rFonts w:ascii="Arial" w:hAnsi="Arial" w:eastAsia="仿宋_GB2312"/>
      <w:b/>
      <w:sz w:val="32"/>
    </w:rPr>
  </w:style>
  <w:style w:type="paragraph" w:styleId="24">
    <w:name w:val="HTML Preformatted"/>
    <w:basedOn w:val="1"/>
    <w:link w:val="1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6">
    <w:name w:val="index 1"/>
    <w:basedOn w:val="1"/>
    <w:next w:val="1"/>
    <w:qFormat/>
    <w:uiPriority w:val="0"/>
  </w:style>
  <w:style w:type="paragraph" w:styleId="27">
    <w:name w:val="Title"/>
    <w:basedOn w:val="1"/>
    <w:link w:val="50"/>
    <w:qFormat/>
    <w:uiPriority w:val="0"/>
    <w:pPr>
      <w:jc w:val="center"/>
    </w:pPr>
    <w:rPr>
      <w:sz w:val="32"/>
      <w:szCs w:val="24"/>
    </w:rPr>
  </w:style>
  <w:style w:type="paragraph" w:styleId="28">
    <w:name w:val="annotation subject"/>
    <w:basedOn w:val="14"/>
    <w:next w:val="14"/>
    <w:link w:val="110"/>
    <w:qFormat/>
    <w:uiPriority w:val="0"/>
    <w:rPr>
      <w:b/>
      <w:bCs/>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2">
    <w:name w:val="Strong"/>
    <w:qFormat/>
    <w:uiPriority w:val="0"/>
    <w:rPr>
      <w:b/>
      <w:bCs/>
    </w:rPr>
  </w:style>
  <w:style w:type="character" w:styleId="33">
    <w:name w:val="endnote reference"/>
    <w:qFormat/>
    <w:uiPriority w:val="0"/>
    <w:rPr>
      <w:vertAlign w:val="superscript"/>
    </w:rPr>
  </w:style>
  <w:style w:type="character" w:styleId="34">
    <w:name w:val="page number"/>
    <w:qFormat/>
    <w:uiPriority w:val="0"/>
  </w:style>
  <w:style w:type="character" w:styleId="35">
    <w:name w:val="FollowedHyperlink"/>
    <w:qFormat/>
    <w:uiPriority w:val="0"/>
    <w:rPr>
      <w:color w:val="800080"/>
      <w:u w:val="single"/>
    </w:rPr>
  </w:style>
  <w:style w:type="character" w:styleId="36">
    <w:name w:val="Emphasis"/>
    <w:basedOn w:val="31"/>
    <w:qFormat/>
    <w:uiPriority w:val="0"/>
  </w:style>
  <w:style w:type="character" w:styleId="37">
    <w:name w:val="HTML Definition"/>
    <w:unhideWhenUsed/>
    <w:qFormat/>
    <w:uiPriority w:val="0"/>
    <w:rPr>
      <w:i/>
      <w:color w:val="337AB7"/>
      <w:u w:val="none"/>
    </w:rPr>
  </w:style>
  <w:style w:type="character" w:styleId="38">
    <w:name w:val="HTML Variable"/>
    <w:basedOn w:val="31"/>
    <w:qFormat/>
    <w:uiPriority w:val="0"/>
  </w:style>
  <w:style w:type="character" w:styleId="39">
    <w:name w:val="Hyperlink"/>
    <w:unhideWhenUsed/>
    <w:qFormat/>
    <w:uiPriority w:val="99"/>
    <w:rPr>
      <w:color w:val="0000FF"/>
      <w:u w:val="single"/>
    </w:rPr>
  </w:style>
  <w:style w:type="character" w:styleId="40">
    <w:name w:val="HTML Code"/>
    <w:unhideWhenUsed/>
    <w:qFormat/>
    <w:uiPriority w:val="0"/>
    <w:rPr>
      <w:rFonts w:hint="default" w:ascii="Menlo" w:hAnsi="Menlo" w:eastAsia="Menlo" w:cs="Menlo"/>
      <w:color w:val="C7254E"/>
      <w:sz w:val="21"/>
      <w:szCs w:val="21"/>
      <w:shd w:val="clear" w:color="auto" w:fill="F9F2F4"/>
    </w:rPr>
  </w:style>
  <w:style w:type="character" w:styleId="41">
    <w:name w:val="annotation reference"/>
    <w:qFormat/>
    <w:uiPriority w:val="0"/>
    <w:rPr>
      <w:rFonts w:cs="Times New Roman"/>
      <w:sz w:val="21"/>
      <w:szCs w:val="21"/>
    </w:rPr>
  </w:style>
  <w:style w:type="character" w:styleId="42">
    <w:name w:val="HTML Cite"/>
    <w:basedOn w:val="31"/>
    <w:qFormat/>
    <w:uiPriority w:val="0"/>
  </w:style>
  <w:style w:type="character" w:styleId="43">
    <w:name w:val="HTML Keyboard"/>
    <w:unhideWhenUsed/>
    <w:qFormat/>
    <w:uiPriority w:val="0"/>
    <w:rPr>
      <w:rFonts w:ascii="Menlo" w:hAnsi="Menlo" w:eastAsia="Menlo" w:cs="Menlo"/>
      <w:color w:val="FFFFFF"/>
      <w:sz w:val="21"/>
      <w:szCs w:val="21"/>
      <w:shd w:val="clear" w:color="auto" w:fill="333333"/>
    </w:rPr>
  </w:style>
  <w:style w:type="character" w:styleId="44">
    <w:name w:val="HTML Sample"/>
    <w:unhideWhenUsed/>
    <w:qFormat/>
    <w:uiPriority w:val="0"/>
    <w:rPr>
      <w:rFonts w:hint="default" w:ascii="Menlo" w:hAnsi="Menlo" w:eastAsia="Menlo" w:cs="Menlo"/>
      <w:sz w:val="21"/>
      <w:szCs w:val="21"/>
    </w:rPr>
  </w:style>
  <w:style w:type="character" w:customStyle="1" w:styleId="45">
    <w:name w:val="font11"/>
    <w:qFormat/>
    <w:uiPriority w:val="0"/>
    <w:rPr>
      <w:rFonts w:hint="eastAsia" w:ascii="宋体" w:hAnsi="宋体" w:eastAsia="宋体" w:cs="宋体"/>
      <w:color w:val="000000"/>
      <w:sz w:val="21"/>
      <w:szCs w:val="21"/>
      <w:u w:val="none"/>
    </w:rPr>
  </w:style>
  <w:style w:type="character" w:customStyle="1" w:styleId="46">
    <w:name w:val="合同标题 Char1"/>
    <w:qFormat/>
    <w:uiPriority w:val="0"/>
    <w:rPr>
      <w:rFonts w:ascii="宋体" w:eastAsia="宋体"/>
      <w:b/>
      <w:kern w:val="44"/>
      <w:sz w:val="32"/>
      <w:lang w:val="en-US" w:eastAsia="zh-CN" w:bidi="ar-SA"/>
    </w:rPr>
  </w:style>
  <w:style w:type="character" w:customStyle="1" w:styleId="47">
    <w:name w:val="正文文本 Char"/>
    <w:link w:val="2"/>
    <w:qFormat/>
    <w:uiPriority w:val="0"/>
    <w:rPr>
      <w:szCs w:val="24"/>
    </w:rPr>
  </w:style>
  <w:style w:type="character" w:customStyle="1" w:styleId="48">
    <w:name w:val="正文项目符号 Char"/>
    <w:link w:val="49"/>
    <w:qFormat/>
    <w:uiPriority w:val="0"/>
    <w:rPr>
      <w:sz w:val="24"/>
      <w:szCs w:val="24"/>
    </w:rPr>
  </w:style>
  <w:style w:type="paragraph" w:customStyle="1" w:styleId="49">
    <w:name w:val="正文项目符号"/>
    <w:basedOn w:val="1"/>
    <w:link w:val="48"/>
    <w:qFormat/>
    <w:uiPriority w:val="0"/>
    <w:pPr>
      <w:spacing w:line="360" w:lineRule="auto"/>
      <w:ind w:left="840" w:hanging="420"/>
    </w:pPr>
    <w:rPr>
      <w:kern w:val="0"/>
      <w:sz w:val="24"/>
      <w:szCs w:val="24"/>
    </w:rPr>
  </w:style>
  <w:style w:type="character" w:customStyle="1" w:styleId="50">
    <w:name w:val="标题 Char"/>
    <w:link w:val="27"/>
    <w:qFormat/>
    <w:uiPriority w:val="0"/>
    <w:rPr>
      <w:kern w:val="2"/>
      <w:sz w:val="32"/>
      <w:szCs w:val="24"/>
    </w:rPr>
  </w:style>
  <w:style w:type="character" w:customStyle="1" w:styleId="51">
    <w:name w:val="页码1"/>
    <w:qFormat/>
    <w:uiPriority w:val="0"/>
  </w:style>
  <w:style w:type="character" w:customStyle="1" w:styleId="52">
    <w:name w:val="t-ajax-wait"/>
    <w:qFormat/>
    <w:uiPriority w:val="0"/>
  </w:style>
  <w:style w:type="character" w:customStyle="1" w:styleId="53">
    <w:name w:val="样式1 Char"/>
    <w:qFormat/>
    <w:uiPriority w:val="0"/>
    <w:rPr>
      <w:rFonts w:ascii="宋体" w:hAnsi="宋体" w:eastAsia="宋体"/>
      <w:sz w:val="21"/>
      <w:szCs w:val="21"/>
      <w:lang w:val="en-US" w:eastAsia="zh-CN" w:bidi="ar-SA"/>
    </w:rPr>
  </w:style>
  <w:style w:type="character" w:customStyle="1" w:styleId="54">
    <w:name w:val="标题 4 Char"/>
    <w:link w:val="6"/>
    <w:qFormat/>
    <w:uiPriority w:val="0"/>
    <w:rPr>
      <w:rFonts w:ascii="Arial" w:hAnsi="Arial" w:eastAsia="黑体"/>
      <w:b/>
      <w:bCs/>
      <w:kern w:val="2"/>
      <w:sz w:val="28"/>
      <w:szCs w:val="28"/>
    </w:rPr>
  </w:style>
  <w:style w:type="character" w:customStyle="1" w:styleId="55">
    <w:name w:val="表格1 Char"/>
    <w:link w:val="56"/>
    <w:qFormat/>
    <w:uiPriority w:val="0"/>
    <w:rPr>
      <w:rFonts w:ascii="宋体" w:hAnsi="宋体"/>
      <w:sz w:val="21"/>
      <w:szCs w:val="21"/>
      <w:lang w:eastAsia="en-US" w:bidi="en-US"/>
    </w:rPr>
  </w:style>
  <w:style w:type="paragraph" w:customStyle="1" w:styleId="56">
    <w:name w:val="表格1"/>
    <w:basedOn w:val="1"/>
    <w:link w:val="55"/>
    <w:qFormat/>
    <w:uiPriority w:val="0"/>
    <w:pPr>
      <w:widowControl/>
      <w:snapToGrid w:val="0"/>
      <w:jc w:val="left"/>
    </w:pPr>
    <w:rPr>
      <w:rFonts w:ascii="宋体" w:hAnsi="宋体"/>
      <w:kern w:val="0"/>
      <w:szCs w:val="21"/>
      <w:lang w:eastAsia="en-US" w:bidi="en-US"/>
    </w:rPr>
  </w:style>
  <w:style w:type="character" w:customStyle="1" w:styleId="57">
    <w:name w:val="批注引用1"/>
    <w:qFormat/>
    <w:uiPriority w:val="0"/>
    <w:rPr>
      <w:sz w:val="21"/>
      <w:szCs w:val="21"/>
    </w:rPr>
  </w:style>
  <w:style w:type="character" w:customStyle="1" w:styleId="58">
    <w:name w:val="Plain Text Char"/>
    <w:qFormat/>
    <w:uiPriority w:val="0"/>
    <w:rPr>
      <w:rFonts w:ascii="宋体" w:hAnsi="Courier New" w:cs="Courier New"/>
      <w:szCs w:val="21"/>
    </w:rPr>
  </w:style>
  <w:style w:type="character" w:customStyle="1" w:styleId="59">
    <w:name w:val="正文文本缩进 2 Char"/>
    <w:link w:val="18"/>
    <w:qFormat/>
    <w:uiPriority w:val="0"/>
    <w:rPr>
      <w:kern w:val="2"/>
      <w:sz w:val="21"/>
    </w:rPr>
  </w:style>
  <w:style w:type="character" w:customStyle="1" w:styleId="60">
    <w:name w:val="font61"/>
    <w:qFormat/>
    <w:uiPriority w:val="0"/>
    <w:rPr>
      <w:rFonts w:hint="eastAsia" w:ascii="宋体" w:hAnsi="宋体" w:eastAsia="宋体" w:cs="宋体"/>
      <w:color w:val="000000"/>
      <w:sz w:val="22"/>
      <w:szCs w:val="22"/>
      <w:u w:val="none"/>
    </w:rPr>
  </w:style>
  <w:style w:type="character" w:customStyle="1" w:styleId="61">
    <w:name w:val="正文文本 Char1"/>
    <w:qFormat/>
    <w:uiPriority w:val="99"/>
    <w:rPr>
      <w:kern w:val="2"/>
      <w:sz w:val="21"/>
    </w:rPr>
  </w:style>
  <w:style w:type="character" w:customStyle="1" w:styleId="62">
    <w:name w:val="style12"/>
    <w:qFormat/>
    <w:uiPriority w:val="0"/>
    <w:rPr>
      <w:rFonts w:hint="default" w:ascii="ˎ̥" w:hAnsi="ˎ̥"/>
      <w:sz w:val="20"/>
      <w:szCs w:val="20"/>
    </w:rPr>
  </w:style>
  <w:style w:type="character" w:customStyle="1" w:styleId="63">
    <w:name w:val="标题 9 Char"/>
    <w:link w:val="11"/>
    <w:qFormat/>
    <w:uiPriority w:val="0"/>
    <w:rPr>
      <w:rFonts w:ascii="Arial" w:hAnsi="Arial" w:eastAsia="黑体"/>
      <w:kern w:val="2"/>
      <w:sz w:val="21"/>
      <w:szCs w:val="21"/>
    </w:rPr>
  </w:style>
  <w:style w:type="character" w:customStyle="1" w:styleId="64">
    <w:name w:val="标题 5 Char"/>
    <w:link w:val="7"/>
    <w:qFormat/>
    <w:uiPriority w:val="0"/>
    <w:rPr>
      <w:b/>
      <w:bCs/>
      <w:sz w:val="28"/>
      <w:szCs w:val="28"/>
    </w:rPr>
  </w:style>
  <w:style w:type="character" w:customStyle="1" w:styleId="65">
    <w:name w:val="正文字缩2字 Char Char"/>
    <w:link w:val="66"/>
    <w:qFormat/>
    <w:uiPriority w:val="0"/>
    <w:rPr>
      <w:sz w:val="24"/>
      <w:szCs w:val="24"/>
    </w:rPr>
  </w:style>
  <w:style w:type="paragraph" w:customStyle="1" w:styleId="66">
    <w:name w:val="正文字缩2字"/>
    <w:basedOn w:val="1"/>
    <w:link w:val="65"/>
    <w:qFormat/>
    <w:uiPriority w:val="0"/>
    <w:pPr>
      <w:spacing w:before="60" w:after="60" w:line="360" w:lineRule="auto"/>
      <w:ind w:left="200" w:leftChars="200" w:firstLine="200" w:firstLineChars="200"/>
    </w:pPr>
    <w:rPr>
      <w:kern w:val="0"/>
      <w:sz w:val="24"/>
      <w:szCs w:val="24"/>
    </w:rPr>
  </w:style>
  <w:style w:type="character" w:customStyle="1" w:styleId="67">
    <w:name w:val="Header Char"/>
    <w:qFormat/>
    <w:uiPriority w:val="0"/>
    <w:rPr>
      <w:sz w:val="18"/>
      <w:szCs w:val="18"/>
    </w:rPr>
  </w:style>
  <w:style w:type="character" w:customStyle="1" w:styleId="68">
    <w:name w:val="尾注文本 Char"/>
    <w:link w:val="19"/>
    <w:qFormat/>
    <w:uiPriority w:val="0"/>
    <w:rPr>
      <w:kern w:val="2"/>
      <w:sz w:val="21"/>
      <w:szCs w:val="24"/>
    </w:rPr>
  </w:style>
  <w:style w:type="character" w:customStyle="1" w:styleId="69">
    <w:name w:val="批注主题 Char1"/>
    <w:qFormat/>
    <w:uiPriority w:val="99"/>
    <w:rPr>
      <w:b/>
      <w:bCs/>
      <w:kern w:val="2"/>
      <w:sz w:val="21"/>
    </w:rPr>
  </w:style>
  <w:style w:type="character" w:customStyle="1" w:styleId="70">
    <w:name w:val="current"/>
    <w:qFormat/>
    <w:uiPriority w:val="0"/>
    <w:rPr>
      <w:color w:val="FFFFFF"/>
      <w:sz w:val="27"/>
      <w:szCs w:val="27"/>
      <w:u w:val="none"/>
      <w:bdr w:val="single" w:color="C0C0C0" w:sz="6" w:space="0"/>
      <w:shd w:val="clear" w:color="auto" w:fill="809FFF"/>
    </w:rPr>
  </w:style>
  <w:style w:type="character" w:customStyle="1" w:styleId="71">
    <w:name w:val="批注文字 Char1"/>
    <w:qFormat/>
    <w:uiPriority w:val="99"/>
    <w:rPr>
      <w:kern w:val="2"/>
      <w:sz w:val="21"/>
    </w:rPr>
  </w:style>
  <w:style w:type="character" w:customStyle="1" w:styleId="72">
    <w:name w:val="我的正文 Char"/>
    <w:link w:val="73"/>
    <w:qFormat/>
    <w:locked/>
    <w:uiPriority w:val="0"/>
    <w:rPr>
      <w:rFonts w:eastAsia="仿宋_GB2312" w:cs="宋体"/>
      <w:sz w:val="24"/>
    </w:rPr>
  </w:style>
  <w:style w:type="paragraph" w:customStyle="1" w:styleId="73">
    <w:name w:val="我的正文"/>
    <w:basedOn w:val="1"/>
    <w:link w:val="72"/>
    <w:qFormat/>
    <w:uiPriority w:val="0"/>
    <w:pPr>
      <w:spacing w:line="360" w:lineRule="auto"/>
      <w:ind w:firstLine="480" w:firstLineChars="200"/>
    </w:pPr>
    <w:rPr>
      <w:rFonts w:eastAsia="仿宋_GB2312"/>
      <w:kern w:val="0"/>
      <w:sz w:val="24"/>
    </w:rPr>
  </w:style>
  <w:style w:type="character" w:customStyle="1" w:styleId="74">
    <w:name w:val="t-exception-stack-controls"/>
    <w:qFormat/>
    <w:uiPriority w:val="0"/>
  </w:style>
  <w:style w:type="character" w:customStyle="1" w:styleId="75">
    <w:name w:val="列出段落 Char"/>
    <w:link w:val="76"/>
    <w:qFormat/>
    <w:uiPriority w:val="34"/>
    <w:rPr>
      <w:rFonts w:ascii="Calibri" w:hAnsi="Calibri"/>
      <w:kern w:val="2"/>
      <w:sz w:val="21"/>
      <w:szCs w:val="22"/>
    </w:rPr>
  </w:style>
  <w:style w:type="paragraph" w:customStyle="1" w:styleId="76">
    <w:name w:val="列出段落1"/>
    <w:basedOn w:val="1"/>
    <w:link w:val="75"/>
    <w:qFormat/>
    <w:uiPriority w:val="34"/>
    <w:pPr>
      <w:ind w:firstLine="420" w:firstLineChars="200"/>
    </w:pPr>
    <w:rPr>
      <w:rFonts w:ascii="Calibri" w:hAnsi="Calibri"/>
      <w:szCs w:val="22"/>
    </w:rPr>
  </w:style>
  <w:style w:type="character" w:customStyle="1" w:styleId="77">
    <w:name w:val="kadertje1"/>
    <w:qFormat/>
    <w:uiPriority w:val="0"/>
    <w:rPr>
      <w:rFonts w:hint="default" w:ascii="Lucida Sans" w:hAnsi="Lucida Sans"/>
      <w:sz w:val="15"/>
      <w:szCs w:val="15"/>
    </w:rPr>
  </w:style>
  <w:style w:type="character" w:customStyle="1" w:styleId="78">
    <w:name w:val="apple-converted-space"/>
    <w:qFormat/>
    <w:uiPriority w:val="0"/>
  </w:style>
  <w:style w:type="character" w:customStyle="1" w:styleId="79">
    <w:name w:val="t-render-object-error"/>
    <w:qFormat/>
    <w:uiPriority w:val="0"/>
    <w:rPr>
      <w:b/>
      <w:i/>
      <w:color w:val="FF0000"/>
    </w:rPr>
  </w:style>
  <w:style w:type="character" w:customStyle="1" w:styleId="80">
    <w:name w:val="标题 2 Char"/>
    <w:link w:val="4"/>
    <w:qFormat/>
    <w:uiPriority w:val="0"/>
    <w:rPr>
      <w:rFonts w:ascii="Arial" w:hAnsi="Arial" w:eastAsia="黑体"/>
      <w:b/>
      <w:bCs/>
      <w:kern w:val="2"/>
      <w:sz w:val="32"/>
      <w:szCs w:val="32"/>
    </w:rPr>
  </w:style>
  <w:style w:type="character" w:customStyle="1" w:styleId="81">
    <w:name w:val="标准正文 Char"/>
    <w:link w:val="82"/>
    <w:qFormat/>
    <w:locked/>
    <w:uiPriority w:val="0"/>
    <w:rPr>
      <w:rFonts w:ascii="宋体" w:hAnsi="宋体"/>
      <w:spacing w:val="-4"/>
      <w:kern w:val="21"/>
      <w:sz w:val="24"/>
      <w:szCs w:val="24"/>
    </w:rPr>
  </w:style>
  <w:style w:type="paragraph" w:customStyle="1" w:styleId="82">
    <w:name w:val="标准正文"/>
    <w:basedOn w:val="1"/>
    <w:link w:val="81"/>
    <w:qFormat/>
    <w:uiPriority w:val="0"/>
    <w:pPr>
      <w:adjustRightInd w:val="0"/>
      <w:spacing w:line="360" w:lineRule="atLeast"/>
      <w:ind w:firstLine="425"/>
      <w:jc w:val="left"/>
      <w:textAlignment w:val="baseline"/>
    </w:pPr>
    <w:rPr>
      <w:rFonts w:ascii="宋体" w:hAnsi="宋体"/>
      <w:spacing w:val="-4"/>
      <w:kern w:val="21"/>
      <w:sz w:val="24"/>
      <w:szCs w:val="24"/>
    </w:rPr>
  </w:style>
  <w:style w:type="character" w:customStyle="1" w:styleId="83">
    <w:name w:val="列出段落1 Char"/>
    <w:link w:val="84"/>
    <w:qFormat/>
    <w:uiPriority w:val="0"/>
    <w:rPr>
      <w:kern w:val="2"/>
      <w:sz w:val="21"/>
      <w:szCs w:val="24"/>
    </w:rPr>
  </w:style>
  <w:style w:type="paragraph" w:customStyle="1" w:styleId="84">
    <w:name w:val="列出段落11"/>
    <w:basedOn w:val="1"/>
    <w:link w:val="83"/>
    <w:qFormat/>
    <w:uiPriority w:val="0"/>
    <w:pPr>
      <w:ind w:firstLine="420" w:firstLineChars="200"/>
    </w:pPr>
    <w:rPr>
      <w:szCs w:val="24"/>
    </w:rPr>
  </w:style>
  <w:style w:type="character" w:customStyle="1" w:styleId="85">
    <w:name w:val="标题 3 Char"/>
    <w:link w:val="5"/>
    <w:qFormat/>
    <w:uiPriority w:val="0"/>
    <w:rPr>
      <w:b/>
      <w:bCs/>
      <w:kern w:val="2"/>
      <w:sz w:val="32"/>
      <w:szCs w:val="32"/>
    </w:rPr>
  </w:style>
  <w:style w:type="character" w:customStyle="1" w:styleId="86">
    <w:name w:val="Page Number1"/>
    <w:qFormat/>
    <w:uiPriority w:val="99"/>
  </w:style>
  <w:style w:type="character" w:customStyle="1" w:styleId="87">
    <w:name w:val="标题 1 Char"/>
    <w:link w:val="3"/>
    <w:qFormat/>
    <w:uiPriority w:val="0"/>
    <w:rPr>
      <w:b/>
      <w:kern w:val="44"/>
      <w:sz w:val="44"/>
    </w:rPr>
  </w:style>
  <w:style w:type="character" w:customStyle="1" w:styleId="88">
    <w:name w:val="font01"/>
    <w:qFormat/>
    <w:uiPriority w:val="0"/>
    <w:rPr>
      <w:rFonts w:ascii="font-weight : 400" w:hAnsi="font-weight : 400" w:eastAsia="font-weight : 400" w:cs="font-weight : 400"/>
      <w:color w:val="000000"/>
      <w:sz w:val="22"/>
      <w:szCs w:val="22"/>
      <w:u w:val="none"/>
    </w:rPr>
  </w:style>
  <w:style w:type="character" w:customStyle="1" w:styleId="89">
    <w:name w:val="C503-正文格式 Char"/>
    <w:link w:val="90"/>
    <w:qFormat/>
    <w:uiPriority w:val="0"/>
    <w:rPr>
      <w:sz w:val="24"/>
    </w:rPr>
  </w:style>
  <w:style w:type="paragraph" w:customStyle="1" w:styleId="90">
    <w:name w:val="C503-正文格式"/>
    <w:basedOn w:val="1"/>
    <w:link w:val="89"/>
    <w:qFormat/>
    <w:uiPriority w:val="0"/>
    <w:pPr>
      <w:spacing w:line="360" w:lineRule="auto"/>
      <w:ind w:firstLine="480" w:firstLineChars="200"/>
    </w:pPr>
    <w:rPr>
      <w:kern w:val="0"/>
      <w:sz w:val="24"/>
    </w:rPr>
  </w:style>
  <w:style w:type="character" w:customStyle="1" w:styleId="91">
    <w:name w:val="hover15"/>
    <w:qFormat/>
    <w:uiPriority w:val="0"/>
    <w:rPr>
      <w:color w:val="FFFFFF"/>
      <w:shd w:val="clear" w:color="auto" w:fill="00C1B3"/>
    </w:rPr>
  </w:style>
  <w:style w:type="character" w:customStyle="1" w:styleId="92">
    <w:name w:val="正文文本缩进 Char"/>
    <w:link w:val="15"/>
    <w:qFormat/>
    <w:uiPriority w:val="0"/>
    <w:rPr>
      <w:kern w:val="2"/>
      <w:sz w:val="28"/>
    </w:rPr>
  </w:style>
  <w:style w:type="character" w:customStyle="1" w:styleId="93">
    <w:name w:val="hover12"/>
    <w:qFormat/>
    <w:uiPriority w:val="0"/>
    <w:rPr>
      <w:color w:val="FFFFFF"/>
      <w:shd w:val="clear" w:color="auto" w:fill="00C1B3"/>
    </w:rPr>
  </w:style>
  <w:style w:type="character" w:customStyle="1" w:styleId="94">
    <w:name w:val="font71"/>
    <w:qFormat/>
    <w:uiPriority w:val="0"/>
    <w:rPr>
      <w:rFonts w:hint="eastAsia" w:ascii="宋体" w:hAnsi="宋体" w:eastAsia="宋体" w:cs="宋体"/>
      <w:color w:val="000000"/>
      <w:sz w:val="16"/>
      <w:szCs w:val="16"/>
      <w:u w:val="none"/>
    </w:rPr>
  </w:style>
  <w:style w:type="character" w:customStyle="1" w:styleId="95">
    <w:name w:val="纯文本 Char1"/>
    <w:qFormat/>
    <w:uiPriority w:val="0"/>
    <w:rPr>
      <w:rFonts w:ascii="宋体" w:hAnsi="Courier New" w:cs="Courier New"/>
      <w:kern w:val="2"/>
      <w:sz w:val="21"/>
      <w:szCs w:val="21"/>
    </w:rPr>
  </w:style>
  <w:style w:type="character" w:customStyle="1" w:styleId="96">
    <w:name w:val="font31"/>
    <w:qFormat/>
    <w:uiPriority w:val="0"/>
    <w:rPr>
      <w:rFonts w:hint="eastAsia" w:ascii="宋体" w:hAnsi="宋体" w:eastAsia="宋体" w:cs="宋体"/>
      <w:color w:val="000000"/>
      <w:sz w:val="24"/>
      <w:szCs w:val="24"/>
      <w:u w:val="none"/>
    </w:rPr>
  </w:style>
  <w:style w:type="character" w:customStyle="1" w:styleId="97">
    <w:name w:val="标题 6 Char"/>
    <w:link w:val="8"/>
    <w:qFormat/>
    <w:uiPriority w:val="0"/>
    <w:rPr>
      <w:rFonts w:ascii="Calibri Light" w:hAnsi="Calibri Light"/>
      <w:b/>
      <w:bCs/>
      <w:kern w:val="2"/>
      <w:sz w:val="24"/>
      <w:szCs w:val="24"/>
    </w:rPr>
  </w:style>
  <w:style w:type="character" w:customStyle="1" w:styleId="98">
    <w:name w:val="标题 7 Char"/>
    <w:link w:val="9"/>
    <w:qFormat/>
    <w:uiPriority w:val="0"/>
    <w:rPr>
      <w:b/>
      <w:bCs/>
      <w:kern w:val="2"/>
      <w:sz w:val="24"/>
      <w:szCs w:val="24"/>
    </w:rPr>
  </w:style>
  <w:style w:type="character" w:customStyle="1" w:styleId="99">
    <w:name w:val="日期 Char"/>
    <w:link w:val="17"/>
    <w:qFormat/>
    <w:uiPriority w:val="99"/>
    <w:rPr>
      <w:kern w:val="2"/>
      <w:sz w:val="28"/>
    </w:rPr>
  </w:style>
  <w:style w:type="character" w:customStyle="1" w:styleId="100">
    <w:name w:val="样式 小四"/>
    <w:qFormat/>
    <w:uiPriority w:val="0"/>
    <w:rPr>
      <w:sz w:val="21"/>
    </w:rPr>
  </w:style>
  <w:style w:type="character" w:customStyle="1" w:styleId="101">
    <w:name w:val="t-tree-icon"/>
    <w:qFormat/>
    <w:uiPriority w:val="0"/>
  </w:style>
  <w:style w:type="character" w:customStyle="1" w:styleId="102">
    <w:name w:val="hover13"/>
    <w:qFormat/>
    <w:uiPriority w:val="0"/>
    <w:rPr>
      <w:sz w:val="21"/>
      <w:szCs w:val="21"/>
    </w:rPr>
  </w:style>
  <w:style w:type="character" w:customStyle="1" w:styleId="103">
    <w:name w:val="普通文字1 Char1"/>
    <w:qFormat/>
    <w:uiPriority w:val="0"/>
    <w:rPr>
      <w:rFonts w:ascii="宋体" w:hAnsi="Courier New" w:eastAsia="宋体"/>
      <w:kern w:val="2"/>
      <w:sz w:val="21"/>
      <w:lang w:val="en-US" w:eastAsia="zh-CN" w:bidi="ar-SA"/>
    </w:rPr>
  </w:style>
  <w:style w:type="character" w:customStyle="1" w:styleId="104">
    <w:name w:val="纯文本 Char"/>
    <w:link w:val="16"/>
    <w:qFormat/>
    <w:uiPriority w:val="0"/>
    <w:rPr>
      <w:rFonts w:ascii="宋体" w:hAnsi="Courier New"/>
      <w:kern w:val="2"/>
      <w:sz w:val="21"/>
    </w:rPr>
  </w:style>
  <w:style w:type="character" w:customStyle="1" w:styleId="105">
    <w:name w:val="font41"/>
    <w:qFormat/>
    <w:uiPriority w:val="0"/>
    <w:rPr>
      <w:rFonts w:hint="eastAsia" w:ascii="宋体" w:hAnsi="宋体" w:eastAsia="宋体" w:cs="宋体"/>
      <w:color w:val="000000"/>
      <w:sz w:val="16"/>
      <w:szCs w:val="16"/>
      <w:u w:val="none"/>
    </w:rPr>
  </w:style>
  <w:style w:type="character" w:customStyle="1" w:styleId="106">
    <w:name w:val="批注框文本 Char"/>
    <w:link w:val="20"/>
    <w:qFormat/>
    <w:uiPriority w:val="0"/>
    <w:rPr>
      <w:kern w:val="2"/>
      <w:sz w:val="18"/>
      <w:szCs w:val="18"/>
    </w:rPr>
  </w:style>
  <w:style w:type="character" w:customStyle="1" w:styleId="107">
    <w:name w:val="正文文本缩进 3 Char"/>
    <w:link w:val="23"/>
    <w:qFormat/>
    <w:uiPriority w:val="0"/>
    <w:rPr>
      <w:rFonts w:ascii="Arial" w:hAnsi="Arial" w:eastAsia="仿宋_GB2312"/>
      <w:b/>
      <w:kern w:val="2"/>
      <w:sz w:val="32"/>
    </w:rPr>
  </w:style>
  <w:style w:type="character" w:customStyle="1" w:styleId="108">
    <w:name w:val="标题 8 Char"/>
    <w:link w:val="10"/>
    <w:qFormat/>
    <w:uiPriority w:val="0"/>
    <w:rPr>
      <w:rFonts w:ascii="Arial" w:hAnsi="Arial" w:eastAsia="黑体"/>
      <w:kern w:val="2"/>
      <w:sz w:val="24"/>
      <w:szCs w:val="24"/>
    </w:rPr>
  </w:style>
  <w:style w:type="character" w:customStyle="1" w:styleId="109">
    <w:name w:val="页脚 Char"/>
    <w:link w:val="21"/>
    <w:qFormat/>
    <w:uiPriority w:val="99"/>
    <w:rPr>
      <w:kern w:val="2"/>
      <w:sz w:val="18"/>
    </w:rPr>
  </w:style>
  <w:style w:type="character" w:customStyle="1" w:styleId="110">
    <w:name w:val="批注主题 Char"/>
    <w:link w:val="28"/>
    <w:qFormat/>
    <w:uiPriority w:val="0"/>
    <w:rPr>
      <w:b/>
      <w:bCs/>
      <w:szCs w:val="24"/>
    </w:rPr>
  </w:style>
  <w:style w:type="character" w:customStyle="1" w:styleId="111">
    <w:name w:val="font51"/>
    <w:qFormat/>
    <w:uiPriority w:val="0"/>
    <w:rPr>
      <w:rFonts w:hint="eastAsia" w:ascii="宋体" w:hAnsi="宋体" w:eastAsia="宋体" w:cs="宋体"/>
      <w:color w:val="000000"/>
      <w:sz w:val="24"/>
      <w:szCs w:val="24"/>
      <w:u w:val="none"/>
      <w:vertAlign w:val="superscript"/>
    </w:rPr>
  </w:style>
  <w:style w:type="character" w:customStyle="1" w:styleId="112">
    <w:name w:val="hover14"/>
    <w:qFormat/>
    <w:uiPriority w:val="0"/>
    <w:rPr>
      <w:color w:val="FFFFFF"/>
      <w:shd w:val="clear" w:color="auto" w:fill="00C1B3"/>
    </w:rPr>
  </w:style>
  <w:style w:type="character" w:customStyle="1" w:styleId="113">
    <w:name w:val="文档结构图 Char"/>
    <w:link w:val="13"/>
    <w:qFormat/>
    <w:uiPriority w:val="0"/>
    <w:rPr>
      <w:kern w:val="2"/>
      <w:sz w:val="21"/>
      <w:shd w:val="clear" w:color="auto" w:fill="000080"/>
    </w:rPr>
  </w:style>
  <w:style w:type="character" w:customStyle="1" w:styleId="114">
    <w:name w:val="footerlink"/>
    <w:qFormat/>
    <w:uiPriority w:val="0"/>
    <w:rPr>
      <w:rFonts w:eastAsia="仿宋_GB2312"/>
      <w:sz w:val="24"/>
      <w:szCs w:val="24"/>
    </w:rPr>
  </w:style>
  <w:style w:type="character" w:customStyle="1" w:styleId="115">
    <w:name w:val="t-tree-expanded"/>
    <w:qFormat/>
    <w:uiPriority w:val="0"/>
  </w:style>
  <w:style w:type="character" w:customStyle="1" w:styleId="116">
    <w:name w:val="页眉 Char"/>
    <w:link w:val="22"/>
    <w:qFormat/>
    <w:uiPriority w:val="0"/>
    <w:rPr>
      <w:kern w:val="2"/>
      <w:sz w:val="18"/>
    </w:rPr>
  </w:style>
  <w:style w:type="character" w:customStyle="1" w:styleId="117">
    <w:name w:val="t-exception-class-name"/>
    <w:qFormat/>
    <w:uiPriority w:val="0"/>
    <w:rPr>
      <w:b/>
      <w:color w:val="0000FF"/>
      <w:sz w:val="24"/>
      <w:szCs w:val="24"/>
      <w:shd w:val="clear" w:color="auto" w:fill="E1E1E1"/>
    </w:rPr>
  </w:style>
  <w:style w:type="character" w:customStyle="1" w:styleId="118">
    <w:name w:val="HTML 预设格式 Char"/>
    <w:link w:val="24"/>
    <w:qFormat/>
    <w:uiPriority w:val="99"/>
    <w:rPr>
      <w:rFonts w:ascii="宋体" w:hAnsi="宋体" w:cs="宋体"/>
      <w:sz w:val="24"/>
      <w:szCs w:val="24"/>
    </w:rPr>
  </w:style>
  <w:style w:type="character" w:customStyle="1" w:styleId="119">
    <w:name w:val="批注文字 Char"/>
    <w:link w:val="14"/>
    <w:qFormat/>
    <w:uiPriority w:val="99"/>
    <w:rPr>
      <w:szCs w:val="24"/>
    </w:rPr>
  </w:style>
  <w:style w:type="paragraph" w:customStyle="1" w:styleId="120">
    <w:name w:val="目录 51"/>
    <w:basedOn w:val="1"/>
    <w:next w:val="1"/>
    <w:uiPriority w:val="0"/>
    <w:pPr>
      <w:ind w:left="1680" w:leftChars="800"/>
    </w:pPr>
    <w:rPr>
      <w:szCs w:val="24"/>
    </w:rPr>
  </w:style>
  <w:style w:type="paragraph" w:customStyle="1" w:styleId="121">
    <w:name w:val="目录 21"/>
    <w:basedOn w:val="1"/>
    <w:next w:val="1"/>
    <w:unhideWhenUsed/>
    <w:qFormat/>
    <w:uiPriority w:val="39"/>
    <w:pPr>
      <w:widowControl/>
      <w:spacing w:after="100" w:line="276" w:lineRule="auto"/>
      <w:ind w:left="220"/>
      <w:jc w:val="left"/>
    </w:pPr>
    <w:rPr>
      <w:rFonts w:ascii="Calibri" w:hAnsi="Calibri"/>
      <w:kern w:val="0"/>
      <w:sz w:val="22"/>
      <w:szCs w:val="22"/>
    </w:rPr>
  </w:style>
  <w:style w:type="paragraph" w:customStyle="1" w:styleId="122">
    <w:name w:val="目录 41"/>
    <w:basedOn w:val="1"/>
    <w:next w:val="1"/>
    <w:qFormat/>
    <w:uiPriority w:val="0"/>
    <w:pPr>
      <w:ind w:left="1260" w:leftChars="600"/>
    </w:pPr>
    <w:rPr>
      <w:szCs w:val="24"/>
    </w:rPr>
  </w:style>
  <w:style w:type="paragraph" w:customStyle="1" w:styleId="123">
    <w:name w:val="目录 81"/>
    <w:basedOn w:val="1"/>
    <w:next w:val="1"/>
    <w:qFormat/>
    <w:uiPriority w:val="0"/>
    <w:pPr>
      <w:ind w:left="2940" w:leftChars="1400"/>
    </w:pPr>
    <w:rPr>
      <w:szCs w:val="24"/>
    </w:rPr>
  </w:style>
  <w:style w:type="paragraph" w:customStyle="1" w:styleId="124">
    <w:name w:val="目录 31"/>
    <w:basedOn w:val="1"/>
    <w:next w:val="1"/>
    <w:unhideWhenUsed/>
    <w:qFormat/>
    <w:uiPriority w:val="0"/>
    <w:pPr>
      <w:widowControl/>
      <w:spacing w:after="100" w:line="276" w:lineRule="auto"/>
      <w:ind w:left="440"/>
      <w:jc w:val="left"/>
    </w:pPr>
    <w:rPr>
      <w:rFonts w:ascii="Calibri" w:hAnsi="Calibri"/>
      <w:kern w:val="0"/>
      <w:sz w:val="22"/>
      <w:szCs w:val="22"/>
    </w:rPr>
  </w:style>
  <w:style w:type="paragraph" w:customStyle="1" w:styleId="125">
    <w:name w:val="目录 71"/>
    <w:basedOn w:val="1"/>
    <w:next w:val="1"/>
    <w:qFormat/>
    <w:uiPriority w:val="0"/>
    <w:pPr>
      <w:ind w:left="2520" w:leftChars="1200"/>
    </w:pPr>
    <w:rPr>
      <w:szCs w:val="24"/>
    </w:rPr>
  </w:style>
  <w:style w:type="paragraph" w:customStyle="1" w:styleId="126">
    <w:name w:val="目录 61"/>
    <w:basedOn w:val="1"/>
    <w:next w:val="1"/>
    <w:qFormat/>
    <w:uiPriority w:val="0"/>
    <w:pPr>
      <w:ind w:left="2100" w:leftChars="1000"/>
    </w:pPr>
    <w:rPr>
      <w:szCs w:val="24"/>
    </w:rPr>
  </w:style>
  <w:style w:type="paragraph" w:customStyle="1" w:styleId="127">
    <w:name w:val="目录 91"/>
    <w:basedOn w:val="1"/>
    <w:next w:val="1"/>
    <w:qFormat/>
    <w:uiPriority w:val="0"/>
    <w:pPr>
      <w:ind w:left="3360" w:leftChars="1600"/>
    </w:pPr>
    <w:rPr>
      <w:szCs w:val="24"/>
    </w:rPr>
  </w:style>
  <w:style w:type="paragraph" w:customStyle="1" w:styleId="128">
    <w:name w:val="目录 11"/>
    <w:basedOn w:val="1"/>
    <w:next w:val="1"/>
    <w:qFormat/>
    <w:uiPriority w:val="39"/>
    <w:pPr>
      <w:spacing w:before="120" w:after="120"/>
      <w:ind w:left="567" w:right="567"/>
      <w:jc w:val="left"/>
    </w:pPr>
    <w:rPr>
      <w:b/>
      <w:caps/>
      <w:sz w:val="30"/>
    </w:rPr>
  </w:style>
  <w:style w:type="paragraph" w:customStyle="1" w:styleId="129">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0">
    <w:name w:val="PMtextBullet"/>
    <w:basedOn w:val="131"/>
    <w:qFormat/>
    <w:uiPriority w:val="0"/>
    <w:pPr>
      <w:tabs>
        <w:tab w:val="left" w:pos="2520"/>
      </w:tabs>
      <w:spacing w:after="200"/>
      <w:ind w:left="2520" w:firstLine="288"/>
    </w:pPr>
  </w:style>
  <w:style w:type="paragraph" w:customStyle="1" w:styleId="131">
    <w:name w:val="PMstyle"/>
    <w:qFormat/>
    <w:uiPriority w:val="0"/>
    <w:pPr>
      <w:spacing w:after="160" w:line="259" w:lineRule="auto"/>
    </w:pPr>
    <w:rPr>
      <w:rFonts w:ascii="Tahoma" w:hAnsi="Tahoma" w:eastAsia="宋体" w:cs="Times New Roman"/>
      <w:sz w:val="22"/>
      <w:lang w:val="en-US" w:eastAsia="zh-CN" w:bidi="ar-SA"/>
    </w:rPr>
  </w:style>
  <w:style w:type="paragraph" w:customStyle="1" w:styleId="132">
    <w:name w:val="Normal Indent1"/>
    <w:basedOn w:val="1"/>
    <w:qFormat/>
    <w:uiPriority w:val="99"/>
    <w:pPr>
      <w:autoSpaceDE w:val="0"/>
      <w:autoSpaceDN w:val="0"/>
      <w:adjustRightInd w:val="0"/>
      <w:ind w:firstLine="420"/>
      <w:jc w:val="left"/>
    </w:pPr>
    <w:rPr>
      <w:rFonts w:ascii="宋体"/>
      <w:kern w:val="0"/>
      <w:sz w:val="24"/>
    </w:rPr>
  </w:style>
  <w:style w:type="paragraph" w:customStyle="1" w:styleId="133">
    <w:name w:val="样式1"/>
    <w:basedOn w:val="1"/>
    <w:qFormat/>
    <w:uiPriority w:val="0"/>
    <w:pPr>
      <w:numPr>
        <w:ilvl w:val="0"/>
        <w:numId w:val="1"/>
      </w:numPr>
      <w:tabs>
        <w:tab w:val="left" w:pos="709"/>
      </w:tabs>
      <w:adjustRightInd w:val="0"/>
      <w:textAlignment w:val="baseline"/>
    </w:pPr>
    <w:rPr>
      <w:rFonts w:ascii="宋体" w:hAnsi="宋体"/>
      <w:kern w:val="0"/>
      <w:szCs w:val="21"/>
    </w:rPr>
  </w:style>
  <w:style w:type="paragraph" w:customStyle="1" w:styleId="134">
    <w:name w:val="Plain Text1"/>
    <w:basedOn w:val="1"/>
    <w:qFormat/>
    <w:uiPriority w:val="99"/>
    <w:rPr>
      <w:rFonts w:ascii="宋体" w:hAnsi="Courier New"/>
    </w:rPr>
  </w:style>
  <w:style w:type="paragraph" w:customStyle="1" w:styleId="135">
    <w:name w:val="样式 标题 2 + 宋体 五号 非加粗 黑色"/>
    <w:basedOn w:val="4"/>
    <w:qFormat/>
    <w:uiPriority w:val="0"/>
    <w:pPr>
      <w:autoSpaceDE w:val="0"/>
      <w:autoSpaceDN w:val="0"/>
      <w:adjustRightInd w:val="0"/>
      <w:spacing w:before="120" w:after="0" w:line="300" w:lineRule="auto"/>
      <w:jc w:val="center"/>
    </w:pPr>
    <w:rPr>
      <w:rFonts w:ascii="宋体" w:hAnsi="宋体" w:eastAsia="宋体"/>
      <w:b w:val="0"/>
      <w:bCs w:val="0"/>
      <w:color w:val="000000"/>
      <w:kern w:val="0"/>
      <w:sz w:val="21"/>
    </w:rPr>
  </w:style>
  <w:style w:type="paragraph" w:customStyle="1" w:styleId="136">
    <w:name w:val="列出段落2"/>
    <w:basedOn w:val="1"/>
    <w:qFormat/>
    <w:uiPriority w:val="34"/>
    <w:pPr>
      <w:ind w:firstLine="420" w:firstLineChars="200"/>
    </w:pPr>
    <w:rPr>
      <w:rFonts w:ascii="Calibri" w:hAnsi="Calibri"/>
      <w:szCs w:val="22"/>
    </w:rPr>
  </w:style>
  <w:style w:type="paragraph" w:customStyle="1" w:styleId="137">
    <w:name w:val="列出段落111"/>
    <w:basedOn w:val="1"/>
    <w:qFormat/>
    <w:uiPriority w:val="0"/>
    <w:pPr>
      <w:ind w:firstLine="420" w:firstLineChars="200"/>
    </w:pPr>
    <w:rPr>
      <w:rFonts w:ascii="Calibri" w:hAnsi="Calibri"/>
      <w:szCs w:val="22"/>
    </w:rPr>
  </w:style>
  <w:style w:type="paragraph" w:customStyle="1" w:styleId="138">
    <w:name w:val="段"/>
    <w:qFormat/>
    <w:uiPriority w:val="0"/>
    <w:pPr>
      <w:autoSpaceDE w:val="0"/>
      <w:autoSpaceDN w:val="0"/>
      <w:spacing w:after="160" w:line="259" w:lineRule="auto"/>
      <w:ind w:firstLine="200" w:firstLineChars="200"/>
      <w:jc w:val="both"/>
    </w:pPr>
    <w:rPr>
      <w:rFonts w:ascii="宋体" w:hAnsi="Times New Roman" w:eastAsia="宋体" w:cs="Times New Roman"/>
      <w:sz w:val="21"/>
      <w:lang w:val="en-US" w:eastAsia="zh-CN" w:bidi="ar-SA"/>
    </w:rPr>
  </w:style>
  <w:style w:type="paragraph" w:customStyle="1" w:styleId="139">
    <w:name w:val="样式2"/>
    <w:basedOn w:val="1"/>
    <w:qFormat/>
    <w:uiPriority w:val="0"/>
    <w:pPr>
      <w:numPr>
        <w:ilvl w:val="1"/>
        <w:numId w:val="2"/>
      </w:numPr>
      <w:adjustRightInd w:val="0"/>
      <w:textAlignment w:val="baseline"/>
    </w:pPr>
    <w:rPr>
      <w:rFonts w:ascii="宋体" w:hAnsi="宋体"/>
      <w:kern w:val="0"/>
      <w:szCs w:val="21"/>
    </w:rPr>
  </w:style>
  <w:style w:type="paragraph" w:customStyle="1" w:styleId="140">
    <w:name w:val="样式 样式 标题 2 + 宋体 五号 非加粗 黑色 + 段前: 6 磅 段后: 0 磅 行距: 单倍行距"/>
    <w:basedOn w:val="135"/>
    <w:qFormat/>
    <w:uiPriority w:val="0"/>
    <w:pPr>
      <w:spacing w:line="240" w:lineRule="auto"/>
    </w:pPr>
    <w:rPr>
      <w:rFonts w:cs="宋体"/>
      <w:szCs w:val="20"/>
    </w:rPr>
  </w:style>
  <w:style w:type="paragraph" w:customStyle="1" w:styleId="141">
    <w:name w:val="样式 宋体 五号 两端对齐 行距: 单倍行距"/>
    <w:basedOn w:val="1"/>
    <w:qFormat/>
    <w:uiPriority w:val="0"/>
    <w:pPr>
      <w:adjustRightInd w:val="0"/>
      <w:textAlignment w:val="baseline"/>
    </w:pPr>
    <w:rPr>
      <w:rFonts w:ascii="宋体" w:hAnsi="宋体"/>
      <w:kern w:val="0"/>
    </w:rPr>
  </w:style>
  <w:style w:type="paragraph" w:customStyle="1" w:styleId="142">
    <w:name w:val="Body Text 21"/>
    <w:basedOn w:val="1"/>
    <w:qFormat/>
    <w:uiPriority w:val="0"/>
    <w:pPr>
      <w:adjustRightInd w:val="0"/>
      <w:spacing w:before="240" w:line="400" w:lineRule="exact"/>
      <w:ind w:firstLine="357"/>
      <w:textAlignment w:val="baseline"/>
    </w:pPr>
    <w:rPr>
      <w:sz w:val="28"/>
    </w:rPr>
  </w:style>
  <w:style w:type="paragraph" w:customStyle="1" w:styleId="143">
    <w:name w:val="样式 样式 样式 标题 2 + 宋体 五号 非加粗 黑色 + 段前: 6 磅 段后: 0 磅 行距: 单倍行距 + 段前: 12..."/>
    <w:basedOn w:val="140"/>
    <w:qFormat/>
    <w:uiPriority w:val="0"/>
    <w:pPr>
      <w:spacing w:before="240"/>
    </w:pPr>
  </w:style>
  <w:style w:type="paragraph" w:customStyle="1" w:styleId="144">
    <w:name w:val="样式 标题 3h3H3sect1.2.3 + 五号 段前: 6 磅 段后: 6 磅 行距: 单倍行距"/>
    <w:basedOn w:val="5"/>
    <w:qFormat/>
    <w:uiPriority w:val="0"/>
    <w:pPr>
      <w:numPr>
        <w:ilvl w:val="2"/>
        <w:numId w:val="3"/>
      </w:numPr>
      <w:tabs>
        <w:tab w:val="left" w:pos="1200"/>
      </w:tabs>
      <w:adjustRightInd w:val="0"/>
      <w:spacing w:before="120" w:after="120" w:line="240" w:lineRule="auto"/>
      <w:jc w:val="left"/>
      <w:textAlignment w:val="baseline"/>
    </w:pPr>
    <w:rPr>
      <w:kern w:val="0"/>
      <w:sz w:val="21"/>
      <w:szCs w:val="20"/>
    </w:rPr>
  </w:style>
  <w:style w:type="paragraph" w:customStyle="1" w:styleId="145">
    <w:name w:val="样式 小四 首行缩进:  0.85 厘米 右侧:  0.03 厘米 行距: 1.5 倍行距"/>
    <w:basedOn w:val="1"/>
    <w:qFormat/>
    <w:uiPriority w:val="0"/>
    <w:pPr>
      <w:spacing w:line="360" w:lineRule="auto"/>
      <w:ind w:right="17" w:firstLine="482"/>
    </w:pPr>
    <w:rPr>
      <w:rFonts w:cs="宋体"/>
      <w:sz w:val="24"/>
    </w:rPr>
  </w:style>
  <w:style w:type="paragraph" w:customStyle="1" w:styleId="146">
    <w:name w:val="Char Char2 Char Char Char"/>
    <w:basedOn w:val="1"/>
    <w:qFormat/>
    <w:uiPriority w:val="0"/>
    <w:rPr>
      <w:rFonts w:ascii="Tahoma" w:hAnsi="Tahoma"/>
      <w:sz w:val="24"/>
    </w:rPr>
  </w:style>
  <w:style w:type="paragraph" w:customStyle="1" w:styleId="147">
    <w:name w:val="列出段落12"/>
    <w:basedOn w:val="1"/>
    <w:qFormat/>
    <w:uiPriority w:val="0"/>
    <w:pPr>
      <w:ind w:firstLine="420" w:firstLineChars="200"/>
    </w:pPr>
    <w:rPr>
      <w:rFonts w:ascii="Calibri" w:hAnsi="Calibri"/>
      <w:szCs w:val="22"/>
    </w:rPr>
  </w:style>
  <w:style w:type="paragraph" w:customStyle="1" w:styleId="148">
    <w:name w:val="Body Text Indent 21"/>
    <w:basedOn w:val="1"/>
    <w:qFormat/>
    <w:uiPriority w:val="0"/>
    <w:pPr>
      <w:adjustRightInd w:val="0"/>
      <w:ind w:left="720" w:hanging="720"/>
      <w:textAlignment w:val="baseline"/>
    </w:pPr>
    <w:rPr>
      <w:b/>
      <w:sz w:val="28"/>
    </w:rPr>
  </w:style>
  <w:style w:type="paragraph" w:customStyle="1" w:styleId="149">
    <w:name w:val="PMletterTextBullet"/>
    <w:basedOn w:val="150"/>
    <w:qFormat/>
    <w:uiPriority w:val="0"/>
    <w:pPr>
      <w:numPr>
        <w:ilvl w:val="0"/>
        <w:numId w:val="4"/>
      </w:numPr>
      <w:tabs>
        <w:tab w:val="left" w:pos="1800"/>
        <w:tab w:val="clear" w:pos="840"/>
      </w:tabs>
      <w:ind w:left="1800"/>
    </w:pPr>
  </w:style>
  <w:style w:type="paragraph" w:customStyle="1" w:styleId="150">
    <w:name w:val="PMletterText"/>
    <w:basedOn w:val="131"/>
    <w:qFormat/>
    <w:uiPriority w:val="0"/>
    <w:pPr>
      <w:spacing w:before="240"/>
      <w:ind w:left="720"/>
    </w:pPr>
  </w:style>
  <w:style w:type="paragraph" w:customStyle="1" w:styleId="151">
    <w:name w:val="五级条标题"/>
    <w:basedOn w:val="152"/>
    <w:next w:val="138"/>
    <w:qFormat/>
    <w:uiPriority w:val="0"/>
    <w:pPr>
      <w:numPr>
        <w:ilvl w:val="6"/>
      </w:numPr>
      <w:outlineLvl w:val="6"/>
    </w:pPr>
  </w:style>
  <w:style w:type="paragraph" w:customStyle="1" w:styleId="152">
    <w:name w:val="四级条标题"/>
    <w:basedOn w:val="153"/>
    <w:next w:val="138"/>
    <w:qFormat/>
    <w:uiPriority w:val="0"/>
    <w:pPr>
      <w:numPr>
        <w:ilvl w:val="5"/>
      </w:numPr>
      <w:outlineLvl w:val="5"/>
    </w:pPr>
  </w:style>
  <w:style w:type="paragraph" w:customStyle="1" w:styleId="153">
    <w:name w:val="三级条标题"/>
    <w:basedOn w:val="154"/>
    <w:next w:val="138"/>
    <w:qFormat/>
    <w:uiPriority w:val="0"/>
    <w:pPr>
      <w:numPr>
        <w:ilvl w:val="4"/>
      </w:numPr>
      <w:outlineLvl w:val="4"/>
    </w:pPr>
  </w:style>
  <w:style w:type="paragraph" w:customStyle="1" w:styleId="154">
    <w:name w:val="二级条标题"/>
    <w:basedOn w:val="155"/>
    <w:next w:val="138"/>
    <w:qFormat/>
    <w:uiPriority w:val="0"/>
    <w:pPr>
      <w:numPr>
        <w:ilvl w:val="3"/>
      </w:numPr>
      <w:ind w:left="0"/>
      <w:outlineLvl w:val="3"/>
    </w:pPr>
  </w:style>
  <w:style w:type="paragraph" w:customStyle="1" w:styleId="155">
    <w:name w:val="一级条标题"/>
    <w:next w:val="138"/>
    <w:qFormat/>
    <w:uiPriority w:val="0"/>
    <w:pPr>
      <w:numPr>
        <w:ilvl w:val="2"/>
        <w:numId w:val="5"/>
      </w:numPr>
      <w:spacing w:after="160" w:line="259" w:lineRule="auto"/>
      <w:outlineLvl w:val="2"/>
    </w:pPr>
    <w:rPr>
      <w:rFonts w:ascii="Times New Roman" w:hAnsi="Times New Roman" w:eastAsia="黑体" w:cs="Times New Roman"/>
      <w:sz w:val="21"/>
      <w:lang w:val="en-US" w:eastAsia="zh-CN" w:bidi="ar-SA"/>
    </w:rPr>
  </w:style>
  <w:style w:type="paragraph" w:customStyle="1" w:styleId="156">
    <w:name w:val="样式 标题 4 + 段前: 5 磅 段后: 5 磅 行距: 单倍行距"/>
    <w:basedOn w:val="6"/>
    <w:qFormat/>
    <w:uiPriority w:val="0"/>
    <w:pPr>
      <w:numPr>
        <w:ilvl w:val="3"/>
        <w:numId w:val="3"/>
      </w:numPr>
      <w:tabs>
        <w:tab w:val="left" w:pos="1200"/>
      </w:tabs>
      <w:adjustRightInd w:val="0"/>
      <w:spacing w:before="100" w:after="100" w:line="240" w:lineRule="auto"/>
      <w:jc w:val="left"/>
      <w:textAlignment w:val="baseline"/>
    </w:pPr>
    <w:rPr>
      <w:kern w:val="0"/>
      <w:szCs w:val="20"/>
    </w:rPr>
  </w:style>
  <w:style w:type="paragraph" w:customStyle="1" w:styleId="157">
    <w:name w:val="修订1"/>
    <w:unhideWhenUsed/>
    <w:qFormat/>
    <w:uiPriority w:val="99"/>
    <w:pPr>
      <w:spacing w:after="160" w:line="259" w:lineRule="auto"/>
    </w:pPr>
    <w:rPr>
      <w:rFonts w:ascii="Times New Roman" w:hAnsi="Times New Roman" w:eastAsia="宋体" w:cs="Times New Roman"/>
      <w:sz w:val="24"/>
      <w:lang w:val="en-US" w:eastAsia="zh-CN" w:bidi="ar-SA"/>
    </w:rPr>
  </w:style>
  <w:style w:type="paragraph" w:customStyle="1" w:styleId="158">
    <w:name w:val="章标题"/>
    <w:next w:val="138"/>
    <w:qFormat/>
    <w:uiPriority w:val="0"/>
    <w:pPr>
      <w:numPr>
        <w:ilvl w:val="1"/>
        <w:numId w:val="5"/>
      </w:numPr>
      <w:spacing w:beforeLines="50" w:afterLines="50" w:line="259" w:lineRule="auto"/>
      <w:jc w:val="both"/>
      <w:outlineLvl w:val="1"/>
    </w:pPr>
    <w:rPr>
      <w:rFonts w:ascii="黑体" w:hAnsi="Times New Roman" w:eastAsia="黑体" w:cs="Times New Roman"/>
      <w:sz w:val="21"/>
      <w:lang w:val="en-US" w:eastAsia="zh-CN" w:bidi="ar-SA"/>
    </w:rPr>
  </w:style>
  <w:style w:type="paragraph" w:customStyle="1" w:styleId="159">
    <w:name w:val="TOC 标题1"/>
    <w:basedOn w:val="3"/>
    <w:next w:val="1"/>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160">
    <w:name w:val="样式 宋体 五号 行距: 单倍行距"/>
    <w:basedOn w:val="1"/>
    <w:qFormat/>
    <w:uiPriority w:val="0"/>
    <w:pPr>
      <w:adjustRightInd w:val="0"/>
      <w:jc w:val="left"/>
      <w:textAlignment w:val="baseline"/>
    </w:pPr>
    <w:rPr>
      <w:rFonts w:ascii="宋体" w:hAnsi="宋体"/>
      <w:kern w:val="0"/>
    </w:rPr>
  </w:style>
  <w:style w:type="paragraph" w:customStyle="1" w:styleId="161">
    <w:name w:val="B表格正文"/>
    <w:next w:val="1"/>
    <w:qFormat/>
    <w:uiPriority w:val="0"/>
    <w:pPr>
      <w:spacing w:after="160" w:line="259" w:lineRule="auto"/>
    </w:pPr>
    <w:rPr>
      <w:rFonts w:ascii="Calibri" w:hAnsi="Calibri" w:eastAsia="黑体" w:cs="Times New Roman"/>
      <w:kern w:val="2"/>
      <w:sz w:val="21"/>
      <w:szCs w:val="21"/>
      <w:lang w:val="en-US" w:eastAsia="zh-CN" w:bidi="ar-SA"/>
    </w:rPr>
  </w:style>
  <w:style w:type="paragraph" w:customStyle="1" w:styleId="162">
    <w:name w:val="样式 样式 小四 右侧:  0.03 厘米 行距: 1.5 倍行距 + 首行缩进:  2 字符"/>
    <w:basedOn w:val="1"/>
    <w:qFormat/>
    <w:uiPriority w:val="0"/>
    <w:pPr>
      <w:spacing w:line="360" w:lineRule="auto"/>
      <w:ind w:right="17" w:firstLine="420" w:firstLineChars="200"/>
    </w:pPr>
    <w:rPr>
      <w:rFonts w:cs="宋体"/>
      <w:sz w:val="24"/>
    </w:rPr>
  </w:style>
  <w:style w:type="paragraph" w:customStyle="1" w:styleId="163">
    <w:name w:val="前言、引言标题"/>
    <w:next w:val="1"/>
    <w:qFormat/>
    <w:uiPriority w:val="0"/>
    <w:pPr>
      <w:numPr>
        <w:ilvl w:val="0"/>
        <w:numId w:val="5"/>
      </w:numPr>
      <w:shd w:val="clear" w:color="FFFFFF" w:fill="FFFFFF"/>
      <w:spacing w:before="640" w:after="560" w:line="259" w:lineRule="auto"/>
      <w:jc w:val="center"/>
      <w:outlineLvl w:val="0"/>
    </w:pPr>
    <w:rPr>
      <w:rFonts w:ascii="黑体" w:hAnsi="Times New Roman" w:eastAsia="黑体" w:cs="Times New Roman"/>
      <w:sz w:val="32"/>
      <w:lang w:val="en-US" w:eastAsia="zh-CN" w:bidi="ar-SA"/>
    </w:rPr>
  </w:style>
  <w:style w:type="paragraph" w:customStyle="1" w:styleId="164">
    <w:name w:val="Char"/>
    <w:basedOn w:val="1"/>
    <w:qFormat/>
    <w:uiPriority w:val="0"/>
    <w:pPr>
      <w:tabs>
        <w:tab w:val="left" w:pos="360"/>
      </w:tabs>
    </w:pPr>
    <w:rPr>
      <w:sz w:val="24"/>
      <w:szCs w:val="24"/>
    </w:rPr>
  </w:style>
  <w:style w:type="paragraph" w:customStyle="1" w:styleId="165">
    <w:name w:val="样式 标题 2 + 宋体 五号 行距: 单倍行距"/>
    <w:basedOn w:val="4"/>
    <w:qFormat/>
    <w:uiPriority w:val="0"/>
    <w:pPr>
      <w:tabs>
        <w:tab w:val="left" w:pos="1140"/>
      </w:tabs>
      <w:adjustRightInd w:val="0"/>
      <w:spacing w:line="240" w:lineRule="auto"/>
      <w:ind w:left="1140" w:hanging="720"/>
      <w:jc w:val="left"/>
      <w:textAlignment w:val="baseline"/>
    </w:pPr>
    <w:rPr>
      <w:rFonts w:ascii="宋体" w:hAnsi="宋体" w:eastAsia="宋体"/>
      <w:kern w:val="0"/>
      <w:sz w:val="21"/>
      <w:szCs w:val="20"/>
    </w:rPr>
  </w:style>
  <w:style w:type="paragraph" w:customStyle="1" w:styleId="166">
    <w:name w:val="样式 宋体 小四 行距: 1.5 倍行距 首行缩进:  2 字符"/>
    <w:basedOn w:val="1"/>
    <w:qFormat/>
    <w:uiPriority w:val="0"/>
    <w:pPr>
      <w:spacing w:line="360" w:lineRule="auto"/>
      <w:ind w:firstLine="480" w:firstLineChars="200"/>
    </w:pPr>
    <w:rPr>
      <w:rFonts w:ascii="宋体" w:hAnsi="宋体" w:cs="宋体"/>
      <w:sz w:val="24"/>
    </w:rPr>
  </w:style>
  <w:style w:type="paragraph" w:customStyle="1" w:styleId="167">
    <w:name w:val="样式 样式 标题 5 + 段前: 5 磅 段后: 5 磅 行距: 单倍行距 + 五号"/>
    <w:basedOn w:val="168"/>
    <w:qFormat/>
    <w:uiPriority w:val="0"/>
    <w:pPr>
      <w:tabs>
        <w:tab w:val="left" w:pos="2100"/>
      </w:tabs>
    </w:pPr>
    <w:rPr>
      <w:sz w:val="21"/>
    </w:rPr>
  </w:style>
  <w:style w:type="paragraph" w:customStyle="1" w:styleId="168">
    <w:name w:val="样式 标题 5 + 段前: 5 磅 段后: 5 磅 行距: 单倍行距"/>
    <w:basedOn w:val="7"/>
    <w:qFormat/>
    <w:uiPriority w:val="0"/>
    <w:pPr>
      <w:tabs>
        <w:tab w:val="left" w:pos="2100"/>
      </w:tabs>
      <w:spacing w:before="100" w:after="100" w:line="240" w:lineRule="auto"/>
      <w:ind w:left="2100" w:hanging="420"/>
    </w:pPr>
    <w:rPr>
      <w:szCs w:val="20"/>
    </w:rPr>
  </w:style>
  <w:style w:type="paragraph" w:customStyle="1" w:styleId="169">
    <w:name w:val="样式 宋体 五号 两端对齐 行距: 单倍行距1"/>
    <w:basedOn w:val="1"/>
    <w:qFormat/>
    <w:uiPriority w:val="0"/>
    <w:pPr>
      <w:adjustRightInd w:val="0"/>
      <w:textAlignment w:val="baseline"/>
    </w:pPr>
    <w:rPr>
      <w:rFonts w:ascii="宋体" w:hAnsi="宋体"/>
      <w:kern w:val="0"/>
    </w:rPr>
  </w:style>
  <w:style w:type="paragraph" w:customStyle="1" w:styleId="170">
    <w:name w:val="p0"/>
    <w:basedOn w:val="1"/>
    <w:qFormat/>
    <w:uiPriority w:val="0"/>
    <w:pPr>
      <w:widowControl/>
    </w:pPr>
    <w:rPr>
      <w:kern w:val="0"/>
      <w:szCs w:val="21"/>
    </w:rPr>
  </w:style>
  <w:style w:type="paragraph" w:customStyle="1" w:styleId="171">
    <w:name w:val="样式 样式 样式 样式 标题 2 + 宋体 五号 非加粗 黑色 + 段前: 6 磅 段后: 0 磅 行距: 单倍行距 + 段前:..."/>
    <w:basedOn w:val="143"/>
    <w:qFormat/>
    <w:uiPriority w:val="0"/>
    <w:pPr>
      <w:tabs>
        <w:tab w:val="left" w:pos="1140"/>
      </w:tabs>
      <w:autoSpaceDE/>
      <w:autoSpaceDN/>
      <w:ind w:left="1140" w:hanging="720"/>
      <w:jc w:val="left"/>
      <w:textAlignment w:val="baseline"/>
    </w:pPr>
    <w:rPr>
      <w:rFonts w:cs="Times New Roman"/>
      <w:b/>
      <w:bCs/>
    </w:rPr>
  </w:style>
  <w:style w:type="paragraph" w:customStyle="1" w:styleId="172">
    <w:name w:val="样式 样式 标题 4 + 段前: 5 磅 段后: 5 磅 行距: 单倍行距 + 五号"/>
    <w:basedOn w:val="156"/>
    <w:qFormat/>
    <w:uiPriority w:val="0"/>
    <w:rPr>
      <w:sz w:val="21"/>
    </w:rPr>
  </w:style>
  <w:style w:type="paragraph" w:customStyle="1" w:styleId="173">
    <w:name w:val="Char Char Char"/>
    <w:basedOn w:val="1"/>
    <w:qFormat/>
    <w:uiPriority w:val="0"/>
    <w:pPr>
      <w:spacing w:before="120" w:after="120" w:line="360" w:lineRule="auto"/>
      <w:ind w:firstLine="200" w:firstLineChars="200"/>
    </w:pPr>
    <w:rPr>
      <w:rFonts w:ascii="Tahoma" w:hAnsi="Tahoma"/>
      <w:sz w:val="24"/>
    </w:rPr>
  </w:style>
  <w:style w:type="paragraph" w:customStyle="1" w:styleId="174">
    <w:name w:val="样式 标题 1 + 四号 居中 段前: 12 磅 段后: 12 磅 行距: 单倍行距"/>
    <w:basedOn w:val="3"/>
    <w:qFormat/>
    <w:uiPriority w:val="0"/>
    <w:pPr>
      <w:adjustRightInd w:val="0"/>
      <w:spacing w:before="240" w:after="240" w:line="240" w:lineRule="auto"/>
      <w:ind w:firstLine="288"/>
      <w:textAlignment w:val="baseline"/>
    </w:pPr>
    <w:rPr>
      <w:bCs/>
      <w:sz w:val="28"/>
    </w:rPr>
  </w:style>
  <w:style w:type="paragraph" w:customStyle="1" w:styleId="175">
    <w:name w:val="Char1 Char Char Char"/>
    <w:basedOn w:val="1"/>
    <w:qFormat/>
    <w:uiPriority w:val="0"/>
    <w:pPr>
      <w:tabs>
        <w:tab w:val="left" w:pos="987"/>
      </w:tabs>
      <w:ind w:left="987" w:hanging="420"/>
    </w:pPr>
    <w:rPr>
      <w:szCs w:val="24"/>
    </w:rPr>
  </w:style>
  <w:style w:type="paragraph" w:customStyle="1" w:styleId="176">
    <w:name w:val="Char1"/>
    <w:basedOn w:val="1"/>
    <w:qFormat/>
    <w:uiPriority w:val="0"/>
    <w:pPr>
      <w:tabs>
        <w:tab w:val="left" w:pos="360"/>
      </w:tabs>
      <w:spacing w:line="360" w:lineRule="auto"/>
      <w:ind w:firstLine="480" w:firstLineChars="200"/>
    </w:pPr>
    <w:rPr>
      <w:rFonts w:ascii="宋体" w:hAnsi="宋体"/>
      <w:kern w:val="0"/>
      <w:sz w:val="24"/>
      <w:szCs w:val="24"/>
    </w:rPr>
  </w:style>
  <w:style w:type="paragraph" w:customStyle="1" w:styleId="177">
    <w:name w:val="正文1"/>
    <w:basedOn w:val="1"/>
    <w:qFormat/>
    <w:uiPriority w:val="0"/>
    <w:pPr>
      <w:widowControl/>
      <w:topLinePunct/>
      <w:spacing w:beforeLines="50" w:afterLines="50" w:line="300" w:lineRule="auto"/>
      <w:ind w:left="420"/>
    </w:pPr>
    <w:rPr>
      <w:szCs w:val="24"/>
    </w:rPr>
  </w:style>
  <w:style w:type="character" w:customStyle="1" w:styleId="178">
    <w:name w:val="x-tab-strip-text"/>
    <w:basedOn w:val="31"/>
    <w:qFormat/>
    <w:uiPriority w:val="0"/>
    <w:rPr>
      <w:rFonts w:ascii="Tahoma" w:hAnsi="Tahoma" w:eastAsia="Tahoma" w:cs="Tahoma"/>
      <w:color w:val="333333"/>
      <w:sz w:val="18"/>
      <w:szCs w:val="18"/>
    </w:rPr>
  </w:style>
  <w:style w:type="character" w:customStyle="1" w:styleId="179">
    <w:name w:val="x-tab-strip-text1"/>
    <w:basedOn w:val="31"/>
    <w:qFormat/>
    <w:uiPriority w:val="0"/>
  </w:style>
  <w:style w:type="character" w:customStyle="1" w:styleId="180">
    <w:name w:val="x-tab-strip-text2"/>
    <w:basedOn w:val="31"/>
    <w:qFormat/>
    <w:uiPriority w:val="0"/>
    <w:rPr>
      <w:color w:val="111111"/>
    </w:rPr>
  </w:style>
  <w:style w:type="character" w:customStyle="1" w:styleId="181">
    <w:name w:val="x-tab-strip-text3"/>
    <w:basedOn w:val="31"/>
    <w:qFormat/>
    <w:uiPriority w:val="0"/>
    <w:rPr>
      <w:b/>
      <w:color w:val="333333"/>
    </w:rPr>
  </w:style>
  <w:style w:type="character" w:customStyle="1" w:styleId="182">
    <w:name w:val="x-tab-strip-text4"/>
    <w:basedOn w:val="31"/>
    <w:qFormat/>
    <w:uiPriority w:val="0"/>
  </w:style>
  <w:style w:type="character" w:customStyle="1" w:styleId="183">
    <w:name w:val="x-tab-strip-text5"/>
    <w:basedOn w:val="31"/>
    <w:qFormat/>
    <w:uiPriority w:val="0"/>
  </w:style>
  <w:style w:type="paragraph" w:customStyle="1" w:styleId="184">
    <w:name w:val="标准正文（小四）"/>
    <w:basedOn w:val="1"/>
    <w:qFormat/>
    <w:uiPriority w:val="0"/>
    <w:pPr>
      <w:spacing w:beforeLines="50" w:afterLines="50" w:line="360" w:lineRule="auto"/>
      <w:ind w:firstLine="480" w:firstLineChars="200"/>
    </w:pPr>
    <w:rPr>
      <w:rFonts w:ascii="宋体" w:hAnsi="宋体"/>
      <w:sz w:val="24"/>
      <w:szCs w:val="22"/>
    </w:rPr>
  </w:style>
  <w:style w:type="paragraph" w:customStyle="1" w:styleId="185">
    <w:name w:val="标题Ⅳ级（小四）"/>
    <w:basedOn w:val="1"/>
    <w:qFormat/>
    <w:uiPriority w:val="0"/>
    <w:pPr>
      <w:ind w:firstLine="200" w:firstLineChars="200"/>
      <w:outlineLvl w:val="3"/>
    </w:pPr>
    <w:rPr>
      <w:rFonts w:ascii="Tahoma" w:hAnsi="Tahoma"/>
      <w:b/>
      <w:color w:val="3366FF"/>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ADB1F-525E-445A-A268-6E6F0FF4803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42</Pages>
  <Words>18809</Words>
  <Characters>4301</Characters>
  <Lines>35</Lines>
  <Paragraphs>46</Paragraphs>
  <TotalTime>1</TotalTime>
  <ScaleCrop>false</ScaleCrop>
  <LinksUpToDate>false</LinksUpToDate>
  <CharactersWithSpaces>23064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2019-04-30T02:27:00Z</dcterms:created>
  <dc:creator>a</dc:creator>
  <cp:lastModifiedBy>海绵宝宝</cp:lastModifiedBy>
  <cp:lastPrinted>2019-01-02T08:38:00Z</cp:lastPrinted>
  <dcterms:modified xsi:type="dcterms:W3CDTF">2019-06-13T10:20:07Z</dcterms:modified>
  <dc:title>广电总局政府采购</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